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52D873">
      <w:pPr>
        <w:rPr>
          <w:rFonts w:ascii="方正黑体_GBK" w:eastAsia="方正黑体_GBK"/>
          <w:bCs/>
          <w:color w:val="auto"/>
          <w:sz w:val="32"/>
          <w:szCs w:val="32"/>
        </w:rPr>
      </w:pPr>
      <w:r>
        <w:rPr>
          <w:rFonts w:hint="eastAsia" w:ascii="方正黑体_GBK" w:eastAsia="方正黑体_GBK"/>
          <w:bCs/>
          <w:color w:val="auto"/>
          <w:sz w:val="32"/>
          <w:szCs w:val="32"/>
        </w:rPr>
        <w:t>附件</w:t>
      </w:r>
      <w:r>
        <w:rPr>
          <w:rFonts w:ascii="方正黑体_GBK" w:eastAsia="方正黑体_GBK"/>
          <w:bCs/>
          <w:color w:val="auto"/>
          <w:sz w:val="32"/>
          <w:szCs w:val="32"/>
        </w:rPr>
        <w:t>1</w:t>
      </w:r>
    </w:p>
    <w:p w14:paraId="3B0B30D8">
      <w:pPr>
        <w:snapToGrid w:val="0"/>
        <w:jc w:val="center"/>
        <w:rPr>
          <w:rFonts w:ascii="Times New Roman" w:hAnsi="Times New Roman" w:eastAsia="方正小标宋_GBK" w:cs="Times New Roman"/>
          <w:color w:val="auto"/>
          <w:sz w:val="44"/>
        </w:rPr>
      </w:pPr>
      <w:r>
        <w:rPr>
          <w:rFonts w:ascii="Times New Roman" w:hAnsi="Times New Roman" w:eastAsia="方正小标宋_GBK" w:cs="Times New Roman"/>
          <w:color w:val="auto"/>
          <w:sz w:val="44"/>
        </w:rPr>
        <w:t>202</w:t>
      </w:r>
      <w:r>
        <w:rPr>
          <w:rFonts w:hint="eastAsia" w:ascii="Times New Roman" w:hAnsi="Times New Roman" w:eastAsia="方正小标宋_GBK" w:cs="Times New Roman"/>
          <w:color w:val="auto"/>
          <w:sz w:val="44"/>
          <w:lang w:val="en-US" w:eastAsia="zh-CN"/>
        </w:rPr>
        <w:t>6</w:t>
      </w:r>
      <w:r>
        <w:rPr>
          <w:rFonts w:ascii="Times New Roman" w:hAnsi="Times New Roman" w:eastAsia="方正小标宋_GBK" w:cs="Times New Roman"/>
          <w:color w:val="auto"/>
          <w:sz w:val="44"/>
        </w:rPr>
        <w:t>年度重庆市自然科学基金创新发展联合基金</w:t>
      </w:r>
    </w:p>
    <w:p w14:paraId="149483C4">
      <w:pPr>
        <w:snapToGrid w:val="0"/>
        <w:jc w:val="center"/>
        <w:rPr>
          <w:rFonts w:ascii="Times New Roman" w:hAnsi="Times New Roman" w:eastAsia="方正楷体_GBK" w:cs="Times New Roman"/>
          <w:color w:val="auto"/>
          <w:sz w:val="32"/>
          <w:szCs w:val="32"/>
        </w:rPr>
      </w:pPr>
      <w:r>
        <w:rPr>
          <w:rFonts w:ascii="Times New Roman" w:hAnsi="Times New Roman" w:eastAsia="方正小标宋_GBK" w:cs="Times New Roman"/>
          <w:color w:val="auto"/>
          <w:sz w:val="44"/>
        </w:rPr>
        <w:t>（</w:t>
      </w:r>
      <w:r>
        <w:rPr>
          <w:rFonts w:hint="eastAsia" w:ascii="Times New Roman" w:hAnsi="Times New Roman" w:eastAsia="方正小标宋_GBK"/>
          <w:color w:val="000000" w:themeColor="text1"/>
          <w:sz w:val="44"/>
          <w:szCs w:val="44"/>
          <w:lang w:val="en-US" w:eastAsia="zh-CN"/>
          <w14:textFill>
            <w14:solidFill>
              <w14:schemeClr w14:val="tx1"/>
            </w14:solidFill>
          </w14:textFill>
        </w:rPr>
        <w:t>生物医药－迈瑞医疗</w:t>
      </w:r>
      <w:r>
        <w:rPr>
          <w:rFonts w:ascii="Times New Roman" w:hAnsi="Times New Roman" w:eastAsia="方正小标宋_GBK" w:cs="Times New Roman"/>
          <w:color w:val="auto"/>
          <w:sz w:val="44"/>
        </w:rPr>
        <w:t>）项目</w:t>
      </w:r>
      <w:r>
        <w:rPr>
          <w:rFonts w:hint="eastAsia" w:ascii="Times New Roman" w:hAnsi="Times New Roman" w:eastAsia="方正小标宋_GBK" w:cs="Times New Roman"/>
          <w:color w:val="auto"/>
          <w:sz w:val="44"/>
        </w:rPr>
        <w:t>申报</w:t>
      </w:r>
      <w:r>
        <w:rPr>
          <w:rFonts w:ascii="Times New Roman" w:hAnsi="Times New Roman" w:eastAsia="方正小标宋_GBK" w:cs="Times New Roman"/>
          <w:color w:val="auto"/>
          <w:sz w:val="44"/>
        </w:rPr>
        <w:t>指南</w:t>
      </w:r>
      <w:r>
        <w:rPr>
          <w:rFonts w:hint="eastAsia" w:ascii="方正小标宋_GBK" w:hAnsi="方正小标宋_GBK" w:eastAsia="方正小标宋_GBK" w:cs="方正小标宋_GBK"/>
          <w:color w:val="auto"/>
          <w:sz w:val="44"/>
          <w:szCs w:val="44"/>
        </w:rPr>
        <w:t>（</w:t>
      </w:r>
      <w:r>
        <w:rPr>
          <w:rFonts w:hint="eastAsia" w:ascii="方正小标宋_GBK" w:hAnsi="方正小标宋_GBK" w:eastAsia="方正小标宋_GBK" w:cs="方正小标宋_GBK"/>
          <w:color w:val="auto"/>
          <w:sz w:val="44"/>
          <w:szCs w:val="44"/>
          <w:lang w:val="en-US" w:eastAsia="zh-CN"/>
        </w:rPr>
        <w:t>28条</w:t>
      </w:r>
      <w:r>
        <w:rPr>
          <w:rFonts w:hint="eastAsia" w:ascii="方正小标宋_GBK" w:hAnsi="方正小标宋_GBK" w:eastAsia="方正小标宋_GBK" w:cs="方正小标宋_GBK"/>
          <w:color w:val="auto"/>
          <w:sz w:val="44"/>
          <w:szCs w:val="44"/>
        </w:rPr>
        <w:t>）</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7"/>
        <w:gridCol w:w="1287"/>
        <w:gridCol w:w="2123"/>
        <w:gridCol w:w="6404"/>
        <w:gridCol w:w="1373"/>
        <w:gridCol w:w="1383"/>
      </w:tblGrid>
      <w:tr w14:paraId="212D3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1127" w:type="dxa"/>
            <w:tcBorders>
              <w:top w:val="single" w:color="auto" w:sz="4" w:space="0"/>
              <w:left w:val="single" w:color="auto" w:sz="4" w:space="0"/>
              <w:bottom w:val="single" w:color="auto" w:sz="4" w:space="0"/>
              <w:right w:val="single" w:color="auto" w:sz="4" w:space="0"/>
            </w:tcBorders>
            <w:vAlign w:val="center"/>
          </w:tcPr>
          <w:p w14:paraId="3F9EFC5B">
            <w:pPr>
              <w:widowControl/>
              <w:spacing w:line="0" w:lineRule="atLeast"/>
              <w:jc w:val="center"/>
              <w:rPr>
                <w:rFonts w:ascii="Times New Roman" w:hAnsi="Times New Roman" w:eastAsia="方正黑体_GBK" w:cs="Times New Roman"/>
                <w:kern w:val="0"/>
                <w:sz w:val="28"/>
                <w:szCs w:val="28"/>
              </w:rPr>
            </w:pPr>
            <w:r>
              <w:rPr>
                <w:rFonts w:hint="eastAsia" w:ascii="Times New Roman" w:hAnsi="Times New Roman" w:eastAsia="方正黑体_GBK" w:cs="Times New Roman"/>
                <w:kern w:val="0"/>
                <w:sz w:val="28"/>
                <w:szCs w:val="28"/>
              </w:rPr>
              <w:t>编</w:t>
            </w:r>
            <w:r>
              <w:rPr>
                <w:rFonts w:ascii="Times New Roman" w:hAnsi="Times New Roman" w:eastAsia="方正黑体_GBK" w:cs="Times New Roman"/>
                <w:kern w:val="0"/>
                <w:sz w:val="28"/>
                <w:szCs w:val="28"/>
              </w:rPr>
              <w:t>号</w:t>
            </w:r>
          </w:p>
        </w:tc>
        <w:tc>
          <w:tcPr>
            <w:tcW w:w="1287" w:type="dxa"/>
            <w:tcBorders>
              <w:top w:val="single" w:color="auto" w:sz="4" w:space="0"/>
              <w:left w:val="single" w:color="auto" w:sz="4" w:space="0"/>
              <w:bottom w:val="single" w:color="auto" w:sz="4" w:space="0"/>
              <w:right w:val="single" w:color="auto" w:sz="4" w:space="0"/>
            </w:tcBorders>
            <w:vAlign w:val="center"/>
          </w:tcPr>
          <w:p w14:paraId="4803D3CF">
            <w:pPr>
              <w:widowControl/>
              <w:spacing w:line="0" w:lineRule="atLeast"/>
              <w:jc w:val="center"/>
              <w:rPr>
                <w:rFonts w:ascii="Times New Roman" w:hAnsi="Times New Roman" w:eastAsia="方正黑体_GBK" w:cs="Times New Roman"/>
                <w:kern w:val="0"/>
                <w:sz w:val="28"/>
                <w:szCs w:val="28"/>
              </w:rPr>
            </w:pPr>
            <w:r>
              <w:rPr>
                <w:rFonts w:ascii="Times New Roman" w:hAnsi="Times New Roman" w:eastAsia="方正黑体_GBK" w:cs="Times New Roman"/>
                <w:kern w:val="0"/>
                <w:sz w:val="28"/>
                <w:szCs w:val="28"/>
              </w:rPr>
              <w:t>类别</w:t>
            </w:r>
          </w:p>
        </w:tc>
        <w:tc>
          <w:tcPr>
            <w:tcW w:w="2123" w:type="dxa"/>
            <w:tcBorders>
              <w:top w:val="single" w:color="auto" w:sz="4" w:space="0"/>
              <w:left w:val="single" w:color="auto" w:sz="4" w:space="0"/>
              <w:bottom w:val="single" w:color="auto" w:sz="4" w:space="0"/>
              <w:right w:val="single" w:color="auto" w:sz="4" w:space="0"/>
            </w:tcBorders>
            <w:vAlign w:val="center"/>
          </w:tcPr>
          <w:p w14:paraId="2B7A9F4E">
            <w:pPr>
              <w:widowControl/>
              <w:spacing w:line="0" w:lineRule="atLeast"/>
              <w:jc w:val="center"/>
              <w:rPr>
                <w:rFonts w:ascii="Times New Roman" w:hAnsi="Times New Roman" w:eastAsia="方正黑体_GBK" w:cs="Times New Roman"/>
                <w:kern w:val="0"/>
                <w:sz w:val="28"/>
                <w:szCs w:val="28"/>
              </w:rPr>
            </w:pPr>
            <w:r>
              <w:rPr>
                <w:rFonts w:ascii="Times New Roman" w:hAnsi="Times New Roman" w:eastAsia="方正黑体_GBK" w:cs="Times New Roman"/>
                <w:kern w:val="0"/>
                <w:sz w:val="28"/>
                <w:szCs w:val="28"/>
              </w:rPr>
              <w:t>指南</w:t>
            </w:r>
          </w:p>
          <w:p w14:paraId="4404679C">
            <w:pPr>
              <w:widowControl/>
              <w:spacing w:line="0" w:lineRule="atLeast"/>
              <w:jc w:val="center"/>
              <w:rPr>
                <w:rFonts w:ascii="Times New Roman" w:hAnsi="Times New Roman" w:eastAsia="方正黑体_GBK" w:cs="Times New Roman"/>
                <w:kern w:val="0"/>
                <w:sz w:val="28"/>
                <w:szCs w:val="28"/>
              </w:rPr>
            </w:pPr>
            <w:r>
              <w:rPr>
                <w:rFonts w:ascii="Times New Roman" w:hAnsi="Times New Roman" w:eastAsia="方正黑体_GBK" w:cs="Times New Roman"/>
                <w:kern w:val="0"/>
                <w:sz w:val="28"/>
                <w:szCs w:val="28"/>
              </w:rPr>
              <w:t>名称</w:t>
            </w:r>
          </w:p>
        </w:tc>
        <w:tc>
          <w:tcPr>
            <w:tcW w:w="6404" w:type="dxa"/>
            <w:tcBorders>
              <w:top w:val="single" w:color="auto" w:sz="4" w:space="0"/>
              <w:left w:val="single" w:color="auto" w:sz="4" w:space="0"/>
              <w:bottom w:val="single" w:color="auto" w:sz="4" w:space="0"/>
              <w:right w:val="single" w:color="auto" w:sz="4" w:space="0"/>
            </w:tcBorders>
            <w:vAlign w:val="center"/>
          </w:tcPr>
          <w:p w14:paraId="3BBDDA42">
            <w:pPr>
              <w:spacing w:line="0" w:lineRule="atLeast"/>
              <w:jc w:val="center"/>
              <w:rPr>
                <w:rFonts w:ascii="Times New Roman" w:hAnsi="Times New Roman" w:eastAsia="方正黑体_GBK" w:cs="Times New Roman"/>
                <w:kern w:val="0"/>
                <w:sz w:val="28"/>
                <w:szCs w:val="28"/>
              </w:rPr>
            </w:pPr>
            <w:r>
              <w:rPr>
                <w:rFonts w:ascii="Times New Roman" w:hAnsi="Times New Roman" w:eastAsia="方正黑体_GBK" w:cs="Times New Roman"/>
                <w:kern w:val="0"/>
                <w:sz w:val="28"/>
                <w:szCs w:val="28"/>
              </w:rPr>
              <w:t>指南内容</w:t>
            </w:r>
          </w:p>
        </w:tc>
        <w:tc>
          <w:tcPr>
            <w:tcW w:w="1373" w:type="dxa"/>
            <w:tcBorders>
              <w:top w:val="single" w:color="auto" w:sz="4" w:space="0"/>
              <w:left w:val="single" w:color="auto" w:sz="4" w:space="0"/>
              <w:bottom w:val="single" w:color="auto" w:sz="4" w:space="0"/>
              <w:right w:val="single" w:color="auto" w:sz="4" w:space="0"/>
            </w:tcBorders>
            <w:vAlign w:val="center"/>
          </w:tcPr>
          <w:p w14:paraId="452BFB86">
            <w:pPr>
              <w:spacing w:line="0" w:lineRule="atLeast"/>
              <w:jc w:val="center"/>
              <w:rPr>
                <w:rFonts w:ascii="Times New Roman" w:hAnsi="Times New Roman" w:eastAsia="方正黑体_GBK" w:cs="Times New Roman"/>
                <w:kern w:val="0"/>
                <w:sz w:val="28"/>
                <w:szCs w:val="28"/>
              </w:rPr>
            </w:pPr>
            <w:r>
              <w:rPr>
                <w:rFonts w:ascii="Times New Roman" w:hAnsi="Times New Roman" w:eastAsia="方正黑体_GBK" w:cs="Times New Roman"/>
                <w:kern w:val="0"/>
                <w:sz w:val="28"/>
                <w:szCs w:val="28"/>
              </w:rPr>
              <w:t>资助强度</w:t>
            </w:r>
          </w:p>
          <w:p w14:paraId="2C39154D">
            <w:pPr>
              <w:spacing w:line="0" w:lineRule="atLeast"/>
              <w:jc w:val="center"/>
              <w:rPr>
                <w:rFonts w:ascii="Times New Roman" w:hAnsi="Times New Roman" w:eastAsia="方正黑体_GBK" w:cs="Times New Roman"/>
                <w:kern w:val="0"/>
                <w:sz w:val="28"/>
                <w:szCs w:val="28"/>
              </w:rPr>
            </w:pPr>
            <w:r>
              <w:rPr>
                <w:rFonts w:ascii="Times New Roman" w:hAnsi="Times New Roman" w:eastAsia="方正黑体_GBK" w:cs="Times New Roman"/>
                <w:kern w:val="0"/>
                <w:sz w:val="28"/>
                <w:szCs w:val="28"/>
              </w:rPr>
              <w:t>(万元)</w:t>
            </w:r>
          </w:p>
        </w:tc>
        <w:tc>
          <w:tcPr>
            <w:tcW w:w="1383" w:type="dxa"/>
            <w:tcBorders>
              <w:top w:val="single" w:color="auto" w:sz="4" w:space="0"/>
              <w:left w:val="single" w:color="auto" w:sz="4" w:space="0"/>
              <w:bottom w:val="single" w:color="auto" w:sz="4" w:space="0"/>
              <w:right w:val="single" w:color="auto" w:sz="4" w:space="0"/>
            </w:tcBorders>
            <w:vAlign w:val="center"/>
          </w:tcPr>
          <w:p w14:paraId="6D18A4A4">
            <w:pPr>
              <w:spacing w:line="0" w:lineRule="atLeast"/>
              <w:jc w:val="center"/>
              <w:rPr>
                <w:rFonts w:hint="default" w:ascii="Times New Roman" w:hAnsi="Times New Roman" w:eastAsia="方正黑体_GBK" w:cs="Times New Roman"/>
                <w:kern w:val="0"/>
                <w:sz w:val="28"/>
                <w:szCs w:val="28"/>
                <w:lang w:val="en-US" w:eastAsia="zh-CN"/>
              </w:rPr>
            </w:pPr>
            <w:r>
              <w:rPr>
                <w:rFonts w:hint="eastAsia" w:ascii="Times New Roman" w:hAnsi="Times New Roman" w:eastAsia="方正黑体_GBK" w:cs="Times New Roman"/>
                <w:kern w:val="0"/>
                <w:sz w:val="28"/>
                <w:szCs w:val="28"/>
                <w:lang w:val="en-US" w:eastAsia="zh-CN"/>
              </w:rPr>
              <w:t>项目周期</w:t>
            </w:r>
          </w:p>
        </w:tc>
      </w:tr>
      <w:tr w14:paraId="66AA7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7" w:hRule="atLeast"/>
          <w:jc w:val="center"/>
        </w:trPr>
        <w:tc>
          <w:tcPr>
            <w:tcW w:w="1127" w:type="dxa"/>
            <w:tcBorders>
              <w:top w:val="single" w:color="auto" w:sz="4" w:space="0"/>
              <w:left w:val="single" w:color="auto" w:sz="4" w:space="0"/>
              <w:bottom w:val="single" w:color="auto" w:sz="4" w:space="0"/>
              <w:right w:val="single" w:color="auto" w:sz="4" w:space="0"/>
            </w:tcBorders>
            <w:vAlign w:val="center"/>
          </w:tcPr>
          <w:p w14:paraId="142003E2">
            <w:pPr>
              <w:widowControl/>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kern w:val="0"/>
                <w:sz w:val="24"/>
                <w:szCs w:val="24"/>
                <w:lang w:val="en-US" w:eastAsia="zh-CN"/>
              </w:rPr>
              <w:t>3</w:t>
            </w:r>
            <w:r>
              <w:rPr>
                <w:rFonts w:hint="eastAsia" w:ascii="Times New Roman" w:hAnsi="Times New Roman" w:eastAsia="方正仿宋_GBK" w:cs="方正仿宋_GBK"/>
                <w:kern w:val="0"/>
                <w:sz w:val="24"/>
                <w:szCs w:val="24"/>
              </w:rPr>
              <w:t>-1</w:t>
            </w:r>
          </w:p>
        </w:tc>
        <w:tc>
          <w:tcPr>
            <w:tcW w:w="1287" w:type="dxa"/>
            <w:tcBorders>
              <w:top w:val="single" w:color="auto" w:sz="4" w:space="0"/>
              <w:left w:val="single" w:color="auto" w:sz="4" w:space="0"/>
              <w:bottom w:val="single" w:color="auto" w:sz="4" w:space="0"/>
              <w:right w:val="single" w:color="auto" w:sz="4" w:space="0"/>
            </w:tcBorders>
            <w:vAlign w:val="center"/>
          </w:tcPr>
          <w:p w14:paraId="2B41B28B">
            <w:pPr>
              <w:widowControl/>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sz w:val="24"/>
                <w:szCs w:val="24"/>
              </w:rPr>
              <w:t>重点项目</w:t>
            </w:r>
          </w:p>
        </w:tc>
        <w:tc>
          <w:tcPr>
            <w:tcW w:w="2123" w:type="dxa"/>
            <w:tcBorders>
              <w:top w:val="single" w:color="auto" w:sz="4" w:space="0"/>
              <w:left w:val="single" w:color="auto" w:sz="4" w:space="0"/>
              <w:bottom w:val="single" w:color="auto" w:sz="4" w:space="0"/>
              <w:right w:val="single" w:color="auto" w:sz="4" w:space="0"/>
            </w:tcBorders>
            <w:vAlign w:val="center"/>
          </w:tcPr>
          <w:p w14:paraId="126B563D">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基于围术期疼痛相关脊髓能量代谢障碍的机制研究</w:t>
            </w:r>
          </w:p>
        </w:tc>
        <w:tc>
          <w:tcPr>
            <w:tcW w:w="6404" w:type="dxa"/>
            <w:tcBorders>
              <w:top w:val="single" w:color="auto" w:sz="4" w:space="0"/>
              <w:left w:val="single" w:color="auto" w:sz="4" w:space="0"/>
              <w:bottom w:val="single" w:color="auto" w:sz="4" w:space="0"/>
              <w:right w:val="single" w:color="auto" w:sz="4" w:space="0"/>
            </w:tcBorders>
            <w:vAlign w:val="center"/>
          </w:tcPr>
          <w:p w14:paraId="3AD83089">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针对围术期慢性疼痛相关脊髓能量代谢障碍机制不明，缺乏有效精准监测和治疗手段的临床需求，聚焦脊髓在疼痛调控中的重要地位，围绕脊髓能量代谢稳态、脊髓神经元的特异性表达因子、外周–脊髓–脑整合网络及多尺度分子调控特征等开展研究，揭示脊髓为核心的痛觉环路调控围术期疼痛的作用机制。</w:t>
            </w:r>
          </w:p>
        </w:tc>
        <w:tc>
          <w:tcPr>
            <w:tcW w:w="1373" w:type="dxa"/>
            <w:tcBorders>
              <w:top w:val="single" w:color="auto" w:sz="4" w:space="0"/>
              <w:left w:val="single" w:color="auto" w:sz="4" w:space="0"/>
              <w:bottom w:val="single" w:color="auto" w:sz="4" w:space="0"/>
              <w:right w:val="single" w:color="auto" w:sz="4" w:space="0"/>
            </w:tcBorders>
            <w:vAlign w:val="center"/>
          </w:tcPr>
          <w:p w14:paraId="397C49E8">
            <w:pPr>
              <w:spacing w:line="0" w:lineRule="atLeast"/>
              <w:jc w:val="center"/>
              <w:rPr>
                <w:rFonts w:hint="eastAsia" w:ascii="Times New Roman" w:hAnsi="Times New Roman" w:eastAsia="方正仿宋_GBK" w:cs="Times New Roman"/>
                <w:sz w:val="24"/>
                <w:szCs w:val="24"/>
                <w:lang w:val="en-US" w:eastAsia="zh-CN"/>
              </w:rPr>
            </w:pPr>
            <w:r>
              <w:rPr>
                <w:rFonts w:hint="eastAsia" w:ascii="Times New Roman" w:hAnsi="Times New Roman" w:eastAsia="方正仿宋_GBK" w:cs="方正仿宋_GBK"/>
                <w:sz w:val="24"/>
                <w:szCs w:val="24"/>
                <w:lang w:val="en-US" w:eastAsia="zh-CN"/>
              </w:rPr>
              <w:t>3</w:t>
            </w:r>
            <w:r>
              <w:rPr>
                <w:rFonts w:hint="eastAsia" w:ascii="Times New Roman" w:hAnsi="Times New Roman" w:eastAsia="方正仿宋_GBK" w:cs="方正仿宋_GBK"/>
                <w:sz w:val="24"/>
                <w:szCs w:val="24"/>
              </w:rPr>
              <w:t>0</w:t>
            </w:r>
          </w:p>
        </w:tc>
        <w:tc>
          <w:tcPr>
            <w:tcW w:w="1383" w:type="dxa"/>
            <w:tcBorders>
              <w:top w:val="single" w:color="auto" w:sz="4" w:space="0"/>
              <w:left w:val="single" w:color="auto" w:sz="4" w:space="0"/>
              <w:bottom w:val="single" w:color="auto" w:sz="4" w:space="0"/>
              <w:right w:val="single" w:color="auto" w:sz="4" w:space="0"/>
            </w:tcBorders>
            <w:vAlign w:val="center"/>
          </w:tcPr>
          <w:p w14:paraId="09D25F9B">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olor w:val="auto"/>
                <w:sz w:val="24"/>
                <w:szCs w:val="24"/>
                <w:highlight w:val="none"/>
                <w:lang w:val="en-US" w:eastAsia="zh-CN"/>
              </w:rPr>
              <w:t>≤36个月</w:t>
            </w:r>
          </w:p>
        </w:tc>
      </w:tr>
      <w:tr w14:paraId="13601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jc w:val="center"/>
        </w:trPr>
        <w:tc>
          <w:tcPr>
            <w:tcW w:w="1127" w:type="dxa"/>
            <w:tcBorders>
              <w:top w:val="single" w:color="auto" w:sz="4" w:space="0"/>
              <w:left w:val="single" w:color="auto" w:sz="4" w:space="0"/>
              <w:bottom w:val="single" w:color="auto" w:sz="4" w:space="0"/>
              <w:right w:val="single" w:color="auto" w:sz="4" w:space="0"/>
            </w:tcBorders>
            <w:vAlign w:val="center"/>
          </w:tcPr>
          <w:p w14:paraId="5B7BD1CE">
            <w:pPr>
              <w:widowControl/>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kern w:val="0"/>
                <w:sz w:val="24"/>
                <w:szCs w:val="24"/>
                <w:lang w:val="en-US" w:eastAsia="zh-CN"/>
              </w:rPr>
              <w:t>3</w:t>
            </w:r>
            <w:r>
              <w:rPr>
                <w:rFonts w:hint="eastAsia" w:ascii="Times New Roman" w:hAnsi="Times New Roman" w:eastAsia="方正仿宋_GBK" w:cs="方正仿宋_GBK"/>
                <w:kern w:val="0"/>
                <w:sz w:val="24"/>
                <w:szCs w:val="24"/>
              </w:rPr>
              <w:t>-2</w:t>
            </w:r>
          </w:p>
        </w:tc>
        <w:tc>
          <w:tcPr>
            <w:tcW w:w="1287" w:type="dxa"/>
            <w:tcBorders>
              <w:top w:val="single" w:color="auto" w:sz="4" w:space="0"/>
              <w:left w:val="single" w:color="auto" w:sz="4" w:space="0"/>
              <w:bottom w:val="single" w:color="auto" w:sz="4" w:space="0"/>
              <w:right w:val="single" w:color="auto" w:sz="4" w:space="0"/>
            </w:tcBorders>
            <w:vAlign w:val="center"/>
          </w:tcPr>
          <w:p w14:paraId="082ADB84">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sz w:val="24"/>
                <w:szCs w:val="24"/>
              </w:rPr>
              <w:t>重点项目</w:t>
            </w:r>
          </w:p>
        </w:tc>
        <w:tc>
          <w:tcPr>
            <w:tcW w:w="2123" w:type="dxa"/>
            <w:tcBorders>
              <w:top w:val="single" w:color="auto" w:sz="4" w:space="0"/>
              <w:left w:val="single" w:color="auto" w:sz="4" w:space="0"/>
              <w:bottom w:val="single" w:color="auto" w:sz="4" w:space="0"/>
              <w:right w:val="single" w:color="auto" w:sz="4" w:space="0"/>
            </w:tcBorders>
            <w:vAlign w:val="center"/>
          </w:tcPr>
          <w:p w14:paraId="45FC62C5">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生命早期麻醉药物暴露相关远期认知风险的神经调控机制研究</w:t>
            </w:r>
          </w:p>
        </w:tc>
        <w:tc>
          <w:tcPr>
            <w:tcW w:w="6404" w:type="dxa"/>
            <w:tcBorders>
              <w:top w:val="single" w:color="auto" w:sz="4" w:space="0"/>
              <w:left w:val="single" w:color="auto" w:sz="4" w:space="0"/>
              <w:bottom w:val="single" w:color="auto" w:sz="4" w:space="0"/>
              <w:right w:val="single" w:color="auto" w:sz="4" w:space="0"/>
            </w:tcBorders>
            <w:vAlign w:val="center"/>
          </w:tcPr>
          <w:p w14:paraId="2E17AD8F">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立足儿童早期麻醉药物暴露可能会增加后续神经发育异常风险，结合化学遗传学、光遗传学为代表的神经环路解析手段，从不同维度解析神经元活动和环路功能，开展神经调控技术改善认知功能异常的研究。</w:t>
            </w:r>
          </w:p>
        </w:tc>
        <w:tc>
          <w:tcPr>
            <w:tcW w:w="1373" w:type="dxa"/>
            <w:tcBorders>
              <w:top w:val="single" w:color="auto" w:sz="4" w:space="0"/>
              <w:left w:val="single" w:color="auto" w:sz="4" w:space="0"/>
              <w:bottom w:val="single" w:color="auto" w:sz="4" w:space="0"/>
              <w:right w:val="single" w:color="auto" w:sz="4" w:space="0"/>
            </w:tcBorders>
            <w:vAlign w:val="center"/>
          </w:tcPr>
          <w:p w14:paraId="2553B3C6">
            <w:pPr>
              <w:spacing w:line="0" w:lineRule="atLeast"/>
              <w:jc w:val="center"/>
              <w:rPr>
                <w:rFonts w:hint="eastAsia" w:ascii="Times New Roman" w:hAnsi="Times New Roman" w:eastAsia="方正仿宋_GBK" w:cs="Times New Roman"/>
                <w:sz w:val="24"/>
                <w:szCs w:val="24"/>
                <w:lang w:val="en-US" w:eastAsia="zh-CN"/>
              </w:rPr>
            </w:pPr>
            <w:r>
              <w:rPr>
                <w:rFonts w:hint="eastAsia" w:ascii="Times New Roman" w:hAnsi="Times New Roman" w:eastAsia="方正仿宋_GBK" w:cs="方正仿宋_GBK"/>
                <w:sz w:val="24"/>
                <w:szCs w:val="24"/>
                <w:lang w:val="en-US" w:eastAsia="zh-CN"/>
              </w:rPr>
              <w:t>3</w:t>
            </w:r>
            <w:r>
              <w:rPr>
                <w:rFonts w:hint="eastAsia" w:ascii="Times New Roman" w:hAnsi="Times New Roman" w:eastAsia="方正仿宋_GBK" w:cs="方正仿宋_GBK"/>
                <w:sz w:val="24"/>
                <w:szCs w:val="24"/>
              </w:rPr>
              <w:t>0</w:t>
            </w:r>
          </w:p>
        </w:tc>
        <w:tc>
          <w:tcPr>
            <w:tcW w:w="1383" w:type="dxa"/>
            <w:tcBorders>
              <w:top w:val="single" w:color="auto" w:sz="4" w:space="0"/>
              <w:left w:val="single" w:color="auto" w:sz="4" w:space="0"/>
              <w:bottom w:val="single" w:color="auto" w:sz="4" w:space="0"/>
              <w:right w:val="single" w:color="auto" w:sz="4" w:space="0"/>
            </w:tcBorders>
            <w:vAlign w:val="center"/>
          </w:tcPr>
          <w:p w14:paraId="1F74126B">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olor w:val="auto"/>
                <w:sz w:val="24"/>
                <w:szCs w:val="24"/>
                <w:highlight w:val="none"/>
                <w:lang w:val="en-US" w:eastAsia="zh-CN"/>
              </w:rPr>
              <w:t>≤36个月</w:t>
            </w:r>
          </w:p>
        </w:tc>
      </w:tr>
      <w:tr w14:paraId="00380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7" w:hRule="atLeast"/>
          <w:jc w:val="center"/>
        </w:trPr>
        <w:tc>
          <w:tcPr>
            <w:tcW w:w="1127" w:type="dxa"/>
            <w:tcBorders>
              <w:top w:val="single" w:color="auto" w:sz="4" w:space="0"/>
              <w:left w:val="single" w:color="auto" w:sz="4" w:space="0"/>
              <w:bottom w:val="single" w:color="auto" w:sz="4" w:space="0"/>
              <w:right w:val="single" w:color="auto" w:sz="4" w:space="0"/>
            </w:tcBorders>
            <w:vAlign w:val="center"/>
          </w:tcPr>
          <w:p w14:paraId="1541802D">
            <w:pPr>
              <w:widowControl/>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kern w:val="0"/>
                <w:sz w:val="24"/>
                <w:szCs w:val="24"/>
                <w:lang w:val="en-US" w:eastAsia="zh-CN"/>
              </w:rPr>
              <w:t>3</w:t>
            </w:r>
            <w:r>
              <w:rPr>
                <w:rFonts w:hint="eastAsia" w:ascii="Times New Roman" w:hAnsi="Times New Roman" w:eastAsia="方正仿宋_GBK" w:cs="方正仿宋_GBK"/>
                <w:kern w:val="0"/>
                <w:sz w:val="24"/>
                <w:szCs w:val="24"/>
              </w:rPr>
              <w:t>-3</w:t>
            </w:r>
          </w:p>
        </w:tc>
        <w:tc>
          <w:tcPr>
            <w:tcW w:w="1287" w:type="dxa"/>
            <w:tcBorders>
              <w:top w:val="single" w:color="auto" w:sz="4" w:space="0"/>
              <w:left w:val="single" w:color="auto" w:sz="4" w:space="0"/>
              <w:bottom w:val="single" w:color="auto" w:sz="4" w:space="0"/>
              <w:right w:val="single" w:color="auto" w:sz="4" w:space="0"/>
            </w:tcBorders>
            <w:vAlign w:val="center"/>
          </w:tcPr>
          <w:p w14:paraId="55C2A0A5">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sz w:val="24"/>
                <w:szCs w:val="24"/>
              </w:rPr>
              <w:t>重点项目</w:t>
            </w:r>
          </w:p>
        </w:tc>
        <w:tc>
          <w:tcPr>
            <w:tcW w:w="2123" w:type="dxa"/>
            <w:tcBorders>
              <w:top w:val="single" w:color="auto" w:sz="4" w:space="0"/>
              <w:left w:val="single" w:color="auto" w:sz="4" w:space="0"/>
              <w:bottom w:val="single" w:color="auto" w:sz="4" w:space="0"/>
              <w:right w:val="single" w:color="auto" w:sz="4" w:space="0"/>
            </w:tcBorders>
            <w:vAlign w:val="center"/>
          </w:tcPr>
          <w:p w14:paraId="3E9C0C78">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基于时序响应型水凝胶的脊髓神经损伤修复与再生机制研究</w:t>
            </w:r>
          </w:p>
        </w:tc>
        <w:tc>
          <w:tcPr>
            <w:tcW w:w="6404" w:type="dxa"/>
            <w:tcBorders>
              <w:top w:val="single" w:color="auto" w:sz="4" w:space="0"/>
              <w:left w:val="single" w:color="auto" w:sz="4" w:space="0"/>
              <w:bottom w:val="single" w:color="auto" w:sz="4" w:space="0"/>
              <w:right w:val="single" w:color="auto" w:sz="4" w:space="0"/>
            </w:tcBorders>
            <w:vAlign w:val="center"/>
          </w:tcPr>
          <w:p w14:paraId="68EE6DE6">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针对脊髓损伤后微环境复杂变化导致神经修复失稳的难题，基于时序响应性多功能生物材料，探索智能化水凝胶载体平台原位感知损伤信号、触发活性物质递送及修复脊髓神经损伤的机制，构建时序适配的促修复微环境，协同实现炎症干预与神经再生。</w:t>
            </w:r>
          </w:p>
        </w:tc>
        <w:tc>
          <w:tcPr>
            <w:tcW w:w="1373" w:type="dxa"/>
            <w:tcBorders>
              <w:top w:val="single" w:color="auto" w:sz="4" w:space="0"/>
              <w:left w:val="single" w:color="auto" w:sz="4" w:space="0"/>
              <w:bottom w:val="single" w:color="auto" w:sz="4" w:space="0"/>
              <w:right w:val="single" w:color="auto" w:sz="4" w:space="0"/>
            </w:tcBorders>
            <w:vAlign w:val="center"/>
          </w:tcPr>
          <w:p w14:paraId="67F87888">
            <w:pPr>
              <w:spacing w:line="0" w:lineRule="atLeast"/>
              <w:jc w:val="center"/>
              <w:rPr>
                <w:rFonts w:hint="eastAsia" w:ascii="Times New Roman" w:hAnsi="Times New Roman" w:eastAsia="方正仿宋_GBK" w:cs="Times New Roman"/>
                <w:sz w:val="24"/>
                <w:szCs w:val="24"/>
                <w:lang w:val="en-US" w:eastAsia="zh-CN"/>
              </w:rPr>
            </w:pPr>
            <w:r>
              <w:rPr>
                <w:rFonts w:hint="eastAsia" w:ascii="Times New Roman" w:hAnsi="Times New Roman" w:eastAsia="方正仿宋_GBK" w:cs="方正仿宋_GBK"/>
                <w:sz w:val="24"/>
                <w:szCs w:val="24"/>
                <w:lang w:val="en-US" w:eastAsia="zh-CN"/>
              </w:rPr>
              <w:t>3</w:t>
            </w:r>
            <w:r>
              <w:rPr>
                <w:rFonts w:hint="eastAsia" w:ascii="Times New Roman" w:hAnsi="Times New Roman" w:eastAsia="方正仿宋_GBK" w:cs="方正仿宋_GBK"/>
                <w:sz w:val="24"/>
                <w:szCs w:val="24"/>
              </w:rPr>
              <w:t>0</w:t>
            </w:r>
          </w:p>
        </w:tc>
        <w:tc>
          <w:tcPr>
            <w:tcW w:w="1383" w:type="dxa"/>
            <w:tcBorders>
              <w:top w:val="single" w:color="auto" w:sz="4" w:space="0"/>
              <w:left w:val="single" w:color="auto" w:sz="4" w:space="0"/>
              <w:bottom w:val="single" w:color="auto" w:sz="4" w:space="0"/>
              <w:right w:val="single" w:color="auto" w:sz="4" w:space="0"/>
            </w:tcBorders>
            <w:vAlign w:val="center"/>
          </w:tcPr>
          <w:p w14:paraId="705402C8">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olor w:val="auto"/>
                <w:sz w:val="24"/>
                <w:szCs w:val="24"/>
                <w:highlight w:val="none"/>
                <w:lang w:val="en-US" w:eastAsia="zh-CN"/>
              </w:rPr>
              <w:t>≤36个月</w:t>
            </w:r>
          </w:p>
        </w:tc>
      </w:tr>
      <w:tr w14:paraId="263BA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9" w:hRule="atLeast"/>
          <w:jc w:val="center"/>
        </w:trPr>
        <w:tc>
          <w:tcPr>
            <w:tcW w:w="1127" w:type="dxa"/>
            <w:tcBorders>
              <w:top w:val="single" w:color="auto" w:sz="4" w:space="0"/>
              <w:left w:val="single" w:color="auto" w:sz="4" w:space="0"/>
              <w:bottom w:val="single" w:color="auto" w:sz="4" w:space="0"/>
              <w:right w:val="single" w:color="auto" w:sz="4" w:space="0"/>
            </w:tcBorders>
            <w:vAlign w:val="center"/>
          </w:tcPr>
          <w:p w14:paraId="2F58B5E3">
            <w:pPr>
              <w:widowControl/>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kern w:val="0"/>
                <w:sz w:val="24"/>
                <w:szCs w:val="24"/>
                <w:lang w:val="en-US" w:eastAsia="zh-CN"/>
              </w:rPr>
              <w:t>3-4</w:t>
            </w:r>
          </w:p>
        </w:tc>
        <w:tc>
          <w:tcPr>
            <w:tcW w:w="1287" w:type="dxa"/>
            <w:tcBorders>
              <w:top w:val="single" w:color="auto" w:sz="4" w:space="0"/>
              <w:left w:val="single" w:color="auto" w:sz="4" w:space="0"/>
              <w:bottom w:val="single" w:color="auto" w:sz="4" w:space="0"/>
              <w:right w:val="single" w:color="auto" w:sz="4" w:space="0"/>
            </w:tcBorders>
            <w:vAlign w:val="center"/>
          </w:tcPr>
          <w:p w14:paraId="1D312DCA">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sz w:val="24"/>
                <w:szCs w:val="24"/>
              </w:rPr>
              <w:t>重点项目</w:t>
            </w:r>
          </w:p>
        </w:tc>
        <w:tc>
          <w:tcPr>
            <w:tcW w:w="2123" w:type="dxa"/>
            <w:tcBorders>
              <w:top w:val="single" w:color="auto" w:sz="4" w:space="0"/>
              <w:left w:val="single" w:color="auto" w:sz="4" w:space="0"/>
              <w:bottom w:val="single" w:color="auto" w:sz="4" w:space="0"/>
              <w:right w:val="single" w:color="auto" w:sz="4" w:space="0"/>
            </w:tcBorders>
            <w:vAlign w:val="center"/>
          </w:tcPr>
          <w:p w14:paraId="68DCBE2D">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脑机接口时间干涉刺激调控非编码RNA改善神经功能障碍的分子机制研究</w:t>
            </w:r>
          </w:p>
        </w:tc>
        <w:tc>
          <w:tcPr>
            <w:tcW w:w="6404" w:type="dxa"/>
            <w:tcBorders>
              <w:top w:val="single" w:color="auto" w:sz="4" w:space="0"/>
              <w:left w:val="single" w:color="auto" w:sz="4" w:space="0"/>
              <w:bottom w:val="single" w:color="auto" w:sz="4" w:space="0"/>
              <w:right w:val="single" w:color="auto" w:sz="4" w:space="0"/>
            </w:tcBorders>
            <w:vAlign w:val="center"/>
          </w:tcPr>
          <w:p w14:paraId="33C2ED21">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围绕颅脑损伤后神经功能障碍康复需求，聚焦脑机接口时间干涉刺激调控大脑深部核团，开展颅脑损伤相关非编码RNA表达、动物和细胞实验研究，阐明"时间干涉刺激-核心非编码RNA调控-神经功能改善"分子机制。</w:t>
            </w:r>
          </w:p>
        </w:tc>
        <w:tc>
          <w:tcPr>
            <w:tcW w:w="1373" w:type="dxa"/>
            <w:tcBorders>
              <w:top w:val="single" w:color="auto" w:sz="4" w:space="0"/>
              <w:left w:val="single" w:color="auto" w:sz="4" w:space="0"/>
              <w:bottom w:val="single" w:color="auto" w:sz="4" w:space="0"/>
              <w:right w:val="single" w:color="auto" w:sz="4" w:space="0"/>
            </w:tcBorders>
            <w:vAlign w:val="center"/>
          </w:tcPr>
          <w:p w14:paraId="342BB256">
            <w:pPr>
              <w:spacing w:line="0" w:lineRule="atLeast"/>
              <w:jc w:val="center"/>
              <w:rPr>
                <w:rFonts w:hint="eastAsia" w:ascii="Times New Roman" w:hAnsi="Times New Roman" w:eastAsia="方正仿宋_GBK" w:cs="Times New Roman"/>
                <w:sz w:val="24"/>
                <w:szCs w:val="24"/>
                <w:lang w:val="en-US" w:eastAsia="zh-CN"/>
              </w:rPr>
            </w:pPr>
            <w:r>
              <w:rPr>
                <w:rFonts w:hint="eastAsia" w:ascii="Times New Roman" w:hAnsi="Times New Roman" w:eastAsia="方正仿宋_GBK" w:cs="方正仿宋_GBK"/>
                <w:sz w:val="24"/>
                <w:szCs w:val="24"/>
                <w:lang w:val="en-US" w:eastAsia="zh-CN"/>
              </w:rPr>
              <w:t>3</w:t>
            </w:r>
            <w:r>
              <w:rPr>
                <w:rFonts w:hint="eastAsia" w:ascii="Times New Roman" w:hAnsi="Times New Roman" w:eastAsia="方正仿宋_GBK" w:cs="方正仿宋_GBK"/>
                <w:sz w:val="24"/>
                <w:szCs w:val="24"/>
              </w:rPr>
              <w:t>0</w:t>
            </w:r>
          </w:p>
        </w:tc>
        <w:tc>
          <w:tcPr>
            <w:tcW w:w="1383" w:type="dxa"/>
            <w:tcBorders>
              <w:top w:val="single" w:color="auto" w:sz="4" w:space="0"/>
              <w:left w:val="single" w:color="auto" w:sz="4" w:space="0"/>
              <w:bottom w:val="single" w:color="auto" w:sz="4" w:space="0"/>
              <w:right w:val="single" w:color="auto" w:sz="4" w:space="0"/>
            </w:tcBorders>
            <w:vAlign w:val="center"/>
          </w:tcPr>
          <w:p w14:paraId="38729BD3">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olor w:val="auto"/>
                <w:sz w:val="24"/>
                <w:szCs w:val="24"/>
                <w:highlight w:val="none"/>
                <w:lang w:val="en-US" w:eastAsia="zh-CN"/>
              </w:rPr>
              <w:t>≤36个月</w:t>
            </w:r>
          </w:p>
        </w:tc>
      </w:tr>
      <w:tr w14:paraId="073C3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0" w:hRule="atLeast"/>
          <w:jc w:val="center"/>
        </w:trPr>
        <w:tc>
          <w:tcPr>
            <w:tcW w:w="1127" w:type="dxa"/>
            <w:tcBorders>
              <w:top w:val="single" w:color="auto" w:sz="4" w:space="0"/>
              <w:left w:val="single" w:color="auto" w:sz="4" w:space="0"/>
              <w:bottom w:val="single" w:color="auto" w:sz="4" w:space="0"/>
              <w:right w:val="single" w:color="auto" w:sz="4" w:space="0"/>
            </w:tcBorders>
            <w:vAlign w:val="center"/>
          </w:tcPr>
          <w:p w14:paraId="18C9E0CB">
            <w:pPr>
              <w:widowControl/>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kern w:val="0"/>
                <w:sz w:val="24"/>
                <w:szCs w:val="24"/>
                <w:lang w:val="en-US" w:eastAsia="zh-CN"/>
              </w:rPr>
              <w:t>3-5</w:t>
            </w:r>
          </w:p>
        </w:tc>
        <w:tc>
          <w:tcPr>
            <w:tcW w:w="1287" w:type="dxa"/>
            <w:tcBorders>
              <w:top w:val="single" w:color="auto" w:sz="4" w:space="0"/>
              <w:left w:val="single" w:color="auto" w:sz="4" w:space="0"/>
              <w:bottom w:val="single" w:color="auto" w:sz="4" w:space="0"/>
              <w:right w:val="single" w:color="auto" w:sz="4" w:space="0"/>
            </w:tcBorders>
            <w:vAlign w:val="center"/>
          </w:tcPr>
          <w:p w14:paraId="5E66CE81">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sz w:val="24"/>
                <w:szCs w:val="24"/>
              </w:rPr>
              <w:t>重点项目</w:t>
            </w:r>
          </w:p>
        </w:tc>
        <w:tc>
          <w:tcPr>
            <w:tcW w:w="2123" w:type="dxa"/>
            <w:tcBorders>
              <w:top w:val="single" w:color="auto" w:sz="4" w:space="0"/>
              <w:left w:val="single" w:color="auto" w:sz="4" w:space="0"/>
              <w:bottom w:val="single" w:color="auto" w:sz="4" w:space="0"/>
              <w:right w:val="single" w:color="auto" w:sz="4" w:space="0"/>
            </w:tcBorders>
            <w:vAlign w:val="center"/>
          </w:tcPr>
          <w:p w14:paraId="21384B8F">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细胞器功能相关磷酸酶异常定位介导结直肠癌免疫治疗耐受的机制及疗效预测研究</w:t>
            </w:r>
          </w:p>
        </w:tc>
        <w:tc>
          <w:tcPr>
            <w:tcW w:w="6404" w:type="dxa"/>
            <w:tcBorders>
              <w:top w:val="single" w:color="auto" w:sz="4" w:space="0"/>
              <w:left w:val="single" w:color="auto" w:sz="4" w:space="0"/>
              <w:bottom w:val="single" w:color="auto" w:sz="4" w:space="0"/>
              <w:right w:val="single" w:color="auto" w:sz="4" w:space="0"/>
            </w:tcBorders>
            <w:vAlign w:val="center"/>
          </w:tcPr>
          <w:p w14:paraId="0A0D3438">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立足结直肠癌患者对免疫治疗耐受的临床困境，聚焦特定细胞器功能调控的磷酸酶因基因突变、表达异常或转运障碍而错误定位于非正常亚细胞结构导致免疫逃逸的重要病理机制，开展细胞器功能相关蛋白异常定位及对细胞器活性调节等基础研究，探究其对免疫治疗敏感性的影响，并筛选潜在免疫治疗标志物。</w:t>
            </w:r>
          </w:p>
        </w:tc>
        <w:tc>
          <w:tcPr>
            <w:tcW w:w="1373" w:type="dxa"/>
            <w:tcBorders>
              <w:top w:val="single" w:color="auto" w:sz="4" w:space="0"/>
              <w:left w:val="single" w:color="auto" w:sz="4" w:space="0"/>
              <w:bottom w:val="single" w:color="auto" w:sz="4" w:space="0"/>
              <w:right w:val="single" w:color="auto" w:sz="4" w:space="0"/>
            </w:tcBorders>
            <w:vAlign w:val="center"/>
          </w:tcPr>
          <w:p w14:paraId="788A54D4">
            <w:pPr>
              <w:spacing w:line="0" w:lineRule="atLeast"/>
              <w:jc w:val="center"/>
              <w:rPr>
                <w:rFonts w:hint="eastAsia" w:ascii="Times New Roman" w:hAnsi="Times New Roman" w:eastAsia="方正仿宋_GBK" w:cs="Times New Roman"/>
                <w:sz w:val="24"/>
                <w:szCs w:val="24"/>
                <w:lang w:val="en-US" w:eastAsia="zh-CN"/>
              </w:rPr>
            </w:pPr>
            <w:r>
              <w:rPr>
                <w:rFonts w:hint="eastAsia" w:ascii="Times New Roman" w:hAnsi="Times New Roman" w:eastAsia="方正仿宋_GBK" w:cs="方正仿宋_GBK"/>
                <w:sz w:val="24"/>
                <w:szCs w:val="24"/>
                <w:lang w:val="en-US" w:eastAsia="zh-CN"/>
              </w:rPr>
              <w:t>3</w:t>
            </w:r>
            <w:r>
              <w:rPr>
                <w:rFonts w:hint="eastAsia" w:ascii="Times New Roman" w:hAnsi="Times New Roman" w:eastAsia="方正仿宋_GBK" w:cs="方正仿宋_GBK"/>
                <w:sz w:val="24"/>
                <w:szCs w:val="24"/>
              </w:rPr>
              <w:t>0</w:t>
            </w:r>
          </w:p>
        </w:tc>
        <w:tc>
          <w:tcPr>
            <w:tcW w:w="1383" w:type="dxa"/>
            <w:tcBorders>
              <w:top w:val="single" w:color="auto" w:sz="4" w:space="0"/>
              <w:left w:val="single" w:color="auto" w:sz="4" w:space="0"/>
              <w:bottom w:val="single" w:color="auto" w:sz="4" w:space="0"/>
              <w:right w:val="single" w:color="auto" w:sz="4" w:space="0"/>
            </w:tcBorders>
            <w:vAlign w:val="center"/>
          </w:tcPr>
          <w:p w14:paraId="1BB41EAA">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olor w:val="auto"/>
                <w:sz w:val="24"/>
                <w:szCs w:val="24"/>
                <w:highlight w:val="none"/>
                <w:lang w:val="en-US" w:eastAsia="zh-CN"/>
              </w:rPr>
              <w:t>≤36个月</w:t>
            </w:r>
          </w:p>
        </w:tc>
      </w:tr>
      <w:tr w14:paraId="3E9AE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5" w:hRule="atLeast"/>
          <w:jc w:val="center"/>
        </w:trPr>
        <w:tc>
          <w:tcPr>
            <w:tcW w:w="1127" w:type="dxa"/>
            <w:tcBorders>
              <w:top w:val="single" w:color="auto" w:sz="4" w:space="0"/>
              <w:left w:val="single" w:color="auto" w:sz="4" w:space="0"/>
              <w:bottom w:val="single" w:color="auto" w:sz="4" w:space="0"/>
              <w:right w:val="single" w:color="auto" w:sz="4" w:space="0"/>
            </w:tcBorders>
            <w:vAlign w:val="center"/>
          </w:tcPr>
          <w:p w14:paraId="25CC769A">
            <w:pPr>
              <w:widowControl/>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kern w:val="0"/>
                <w:sz w:val="24"/>
                <w:szCs w:val="24"/>
                <w:lang w:val="en-US" w:eastAsia="zh-CN"/>
              </w:rPr>
              <w:t>3-6</w:t>
            </w:r>
          </w:p>
        </w:tc>
        <w:tc>
          <w:tcPr>
            <w:tcW w:w="1287" w:type="dxa"/>
            <w:tcBorders>
              <w:top w:val="single" w:color="auto" w:sz="4" w:space="0"/>
              <w:left w:val="single" w:color="auto" w:sz="4" w:space="0"/>
              <w:bottom w:val="single" w:color="auto" w:sz="4" w:space="0"/>
              <w:right w:val="single" w:color="auto" w:sz="4" w:space="0"/>
            </w:tcBorders>
            <w:vAlign w:val="center"/>
          </w:tcPr>
          <w:p w14:paraId="7857C20F">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sz w:val="24"/>
                <w:szCs w:val="24"/>
              </w:rPr>
              <w:t>重点项目</w:t>
            </w:r>
          </w:p>
        </w:tc>
        <w:tc>
          <w:tcPr>
            <w:tcW w:w="2123" w:type="dxa"/>
            <w:tcBorders>
              <w:top w:val="single" w:color="auto" w:sz="4" w:space="0"/>
              <w:left w:val="single" w:color="auto" w:sz="4" w:space="0"/>
              <w:bottom w:val="single" w:color="auto" w:sz="4" w:space="0"/>
              <w:right w:val="single" w:color="auto" w:sz="4" w:space="0"/>
            </w:tcBorders>
            <w:vAlign w:val="center"/>
          </w:tcPr>
          <w:p w14:paraId="5D4CB9D5">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新生儿早发型脓毒症发病机制解析及早期预警模型构建</w:t>
            </w:r>
          </w:p>
        </w:tc>
        <w:tc>
          <w:tcPr>
            <w:tcW w:w="6404" w:type="dxa"/>
            <w:tcBorders>
              <w:top w:val="single" w:color="auto" w:sz="4" w:space="0"/>
              <w:left w:val="single" w:color="auto" w:sz="4" w:space="0"/>
              <w:bottom w:val="single" w:color="auto" w:sz="4" w:space="0"/>
              <w:right w:val="single" w:color="auto" w:sz="4" w:space="0"/>
            </w:tcBorders>
            <w:vAlign w:val="center"/>
          </w:tcPr>
          <w:p w14:paraId="4220B4C5">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针对新生儿早发型脓毒症致死率高且缺乏早期精准预警手段难题，聚焦母体围产期因素导致新生儿早发型脓毒症发病机制不明的关键问题，运用宏基因组、转录组、代谢组等多组学技术，系统解析母体围产期因素导致新生儿早发型脓毒症发生的关键机制，构建核心标志物指纹图谱，探索早期精准预警模型。</w:t>
            </w:r>
          </w:p>
        </w:tc>
        <w:tc>
          <w:tcPr>
            <w:tcW w:w="1373" w:type="dxa"/>
            <w:tcBorders>
              <w:top w:val="single" w:color="auto" w:sz="4" w:space="0"/>
              <w:left w:val="single" w:color="auto" w:sz="4" w:space="0"/>
              <w:bottom w:val="single" w:color="auto" w:sz="4" w:space="0"/>
              <w:right w:val="single" w:color="auto" w:sz="4" w:space="0"/>
            </w:tcBorders>
            <w:vAlign w:val="center"/>
          </w:tcPr>
          <w:p w14:paraId="120760F7">
            <w:pPr>
              <w:spacing w:line="0" w:lineRule="atLeast"/>
              <w:jc w:val="center"/>
              <w:rPr>
                <w:rFonts w:hint="eastAsia" w:ascii="Times New Roman" w:hAnsi="Times New Roman" w:eastAsia="方正仿宋_GBK" w:cs="Times New Roman"/>
                <w:sz w:val="24"/>
                <w:szCs w:val="24"/>
                <w:lang w:val="en-US" w:eastAsia="zh-CN"/>
              </w:rPr>
            </w:pPr>
            <w:r>
              <w:rPr>
                <w:rFonts w:hint="eastAsia" w:ascii="Times New Roman" w:hAnsi="Times New Roman" w:eastAsia="方正仿宋_GBK" w:cs="方正仿宋_GBK"/>
                <w:sz w:val="24"/>
                <w:szCs w:val="24"/>
                <w:lang w:val="en-US" w:eastAsia="zh-CN"/>
              </w:rPr>
              <w:t>3</w:t>
            </w:r>
            <w:r>
              <w:rPr>
                <w:rFonts w:hint="eastAsia" w:ascii="Times New Roman" w:hAnsi="Times New Roman" w:eastAsia="方正仿宋_GBK" w:cs="方正仿宋_GBK"/>
                <w:sz w:val="24"/>
                <w:szCs w:val="24"/>
              </w:rPr>
              <w:t>0</w:t>
            </w:r>
          </w:p>
        </w:tc>
        <w:tc>
          <w:tcPr>
            <w:tcW w:w="1383" w:type="dxa"/>
            <w:tcBorders>
              <w:top w:val="single" w:color="auto" w:sz="4" w:space="0"/>
              <w:left w:val="single" w:color="auto" w:sz="4" w:space="0"/>
              <w:bottom w:val="single" w:color="auto" w:sz="4" w:space="0"/>
              <w:right w:val="single" w:color="auto" w:sz="4" w:space="0"/>
            </w:tcBorders>
            <w:vAlign w:val="center"/>
          </w:tcPr>
          <w:p w14:paraId="639BA568">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olor w:val="auto"/>
                <w:sz w:val="24"/>
                <w:szCs w:val="24"/>
                <w:highlight w:val="none"/>
                <w:lang w:val="en-US" w:eastAsia="zh-CN"/>
              </w:rPr>
              <w:t>≤36个月</w:t>
            </w:r>
          </w:p>
        </w:tc>
      </w:tr>
      <w:tr w14:paraId="47649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1127" w:type="dxa"/>
            <w:tcBorders>
              <w:top w:val="single" w:color="auto" w:sz="4" w:space="0"/>
              <w:left w:val="single" w:color="auto" w:sz="4" w:space="0"/>
              <w:bottom w:val="single" w:color="auto" w:sz="4" w:space="0"/>
              <w:right w:val="single" w:color="auto" w:sz="4" w:space="0"/>
            </w:tcBorders>
            <w:vAlign w:val="center"/>
          </w:tcPr>
          <w:p w14:paraId="39F29B63">
            <w:pPr>
              <w:widowControl/>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kern w:val="0"/>
                <w:sz w:val="24"/>
                <w:szCs w:val="24"/>
                <w:lang w:val="en-US" w:eastAsia="zh-CN"/>
              </w:rPr>
              <w:t>3-7</w:t>
            </w:r>
          </w:p>
        </w:tc>
        <w:tc>
          <w:tcPr>
            <w:tcW w:w="1287" w:type="dxa"/>
            <w:tcBorders>
              <w:top w:val="single" w:color="auto" w:sz="4" w:space="0"/>
              <w:left w:val="single" w:color="auto" w:sz="4" w:space="0"/>
              <w:bottom w:val="single" w:color="auto" w:sz="4" w:space="0"/>
              <w:right w:val="single" w:color="auto" w:sz="4" w:space="0"/>
            </w:tcBorders>
            <w:vAlign w:val="center"/>
          </w:tcPr>
          <w:p w14:paraId="267C198A">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sz w:val="24"/>
                <w:szCs w:val="24"/>
              </w:rPr>
              <w:t>重点项目</w:t>
            </w:r>
          </w:p>
        </w:tc>
        <w:tc>
          <w:tcPr>
            <w:tcW w:w="2123" w:type="dxa"/>
            <w:tcBorders>
              <w:top w:val="single" w:color="auto" w:sz="4" w:space="0"/>
              <w:left w:val="single" w:color="auto" w:sz="4" w:space="0"/>
              <w:bottom w:val="single" w:color="auto" w:sz="4" w:space="0"/>
              <w:right w:val="single" w:color="auto" w:sz="4" w:space="0"/>
            </w:tcBorders>
            <w:vAlign w:val="center"/>
          </w:tcPr>
          <w:p w14:paraId="2B46B1A1">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川渝地区侵袭性真菌病原谱特征及耐药机制解析研究</w:t>
            </w:r>
          </w:p>
        </w:tc>
        <w:tc>
          <w:tcPr>
            <w:tcW w:w="6404" w:type="dxa"/>
            <w:tcBorders>
              <w:top w:val="single" w:color="auto" w:sz="4" w:space="0"/>
              <w:left w:val="single" w:color="auto" w:sz="4" w:space="0"/>
              <w:bottom w:val="single" w:color="auto" w:sz="4" w:space="0"/>
              <w:right w:val="single" w:color="auto" w:sz="4" w:space="0"/>
            </w:tcBorders>
            <w:vAlign w:val="center"/>
          </w:tcPr>
          <w:p w14:paraId="42296CB2">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针对侵袭性真菌病病死率高、诊断难、耐药形势严峻难题，聚焦川渝地区侵袭性真菌病原谱动态变化特征和耐药机制，系统开展流行病学、病原群特征、表型耐药监测及基因型耐药机制研究，分析其与临床诊疗结局的关联性，为侵袭性真菌病精准诊疗提供科学依据。</w:t>
            </w:r>
          </w:p>
        </w:tc>
        <w:tc>
          <w:tcPr>
            <w:tcW w:w="1373" w:type="dxa"/>
            <w:tcBorders>
              <w:top w:val="single" w:color="auto" w:sz="4" w:space="0"/>
              <w:left w:val="single" w:color="auto" w:sz="4" w:space="0"/>
              <w:bottom w:val="single" w:color="auto" w:sz="4" w:space="0"/>
              <w:right w:val="single" w:color="auto" w:sz="4" w:space="0"/>
            </w:tcBorders>
            <w:vAlign w:val="center"/>
          </w:tcPr>
          <w:p w14:paraId="34DFC599">
            <w:pPr>
              <w:spacing w:line="0" w:lineRule="atLeast"/>
              <w:jc w:val="center"/>
              <w:rPr>
                <w:rFonts w:hint="eastAsia" w:ascii="Times New Roman" w:hAnsi="Times New Roman" w:eastAsia="方正仿宋_GBK" w:cs="Times New Roman"/>
                <w:sz w:val="24"/>
                <w:szCs w:val="24"/>
                <w:lang w:val="en-US" w:eastAsia="zh-CN"/>
              </w:rPr>
            </w:pPr>
            <w:r>
              <w:rPr>
                <w:rFonts w:hint="eastAsia" w:ascii="Times New Roman" w:hAnsi="Times New Roman" w:eastAsia="方正仿宋_GBK" w:cs="方正仿宋_GBK"/>
                <w:sz w:val="24"/>
                <w:szCs w:val="24"/>
                <w:lang w:val="en-US" w:eastAsia="zh-CN"/>
              </w:rPr>
              <w:t>3</w:t>
            </w:r>
            <w:r>
              <w:rPr>
                <w:rFonts w:hint="eastAsia" w:ascii="Times New Roman" w:hAnsi="Times New Roman" w:eastAsia="方正仿宋_GBK" w:cs="方正仿宋_GBK"/>
                <w:sz w:val="24"/>
                <w:szCs w:val="24"/>
              </w:rPr>
              <w:t>0</w:t>
            </w:r>
          </w:p>
        </w:tc>
        <w:tc>
          <w:tcPr>
            <w:tcW w:w="1383" w:type="dxa"/>
            <w:tcBorders>
              <w:top w:val="single" w:color="auto" w:sz="4" w:space="0"/>
              <w:left w:val="single" w:color="auto" w:sz="4" w:space="0"/>
              <w:bottom w:val="single" w:color="auto" w:sz="4" w:space="0"/>
              <w:right w:val="single" w:color="auto" w:sz="4" w:space="0"/>
            </w:tcBorders>
            <w:vAlign w:val="center"/>
          </w:tcPr>
          <w:p w14:paraId="6FDA10E8">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olor w:val="auto"/>
                <w:sz w:val="24"/>
                <w:szCs w:val="24"/>
                <w:highlight w:val="none"/>
                <w:lang w:val="en-US" w:eastAsia="zh-CN"/>
              </w:rPr>
              <w:t>≤36个月</w:t>
            </w:r>
          </w:p>
        </w:tc>
      </w:tr>
      <w:tr w14:paraId="1D9B7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jc w:val="center"/>
        </w:trPr>
        <w:tc>
          <w:tcPr>
            <w:tcW w:w="1127" w:type="dxa"/>
            <w:tcBorders>
              <w:top w:val="single" w:color="auto" w:sz="4" w:space="0"/>
              <w:left w:val="single" w:color="auto" w:sz="4" w:space="0"/>
              <w:bottom w:val="single" w:color="auto" w:sz="4" w:space="0"/>
              <w:right w:val="single" w:color="auto" w:sz="4" w:space="0"/>
            </w:tcBorders>
            <w:vAlign w:val="center"/>
          </w:tcPr>
          <w:p w14:paraId="111CD748">
            <w:pPr>
              <w:widowControl/>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kern w:val="0"/>
                <w:sz w:val="24"/>
                <w:szCs w:val="24"/>
                <w:lang w:val="en-US" w:eastAsia="zh-CN"/>
              </w:rPr>
              <w:t>3-8</w:t>
            </w:r>
          </w:p>
        </w:tc>
        <w:tc>
          <w:tcPr>
            <w:tcW w:w="1287" w:type="dxa"/>
            <w:tcBorders>
              <w:top w:val="single" w:color="auto" w:sz="4" w:space="0"/>
              <w:left w:val="single" w:color="auto" w:sz="4" w:space="0"/>
              <w:bottom w:val="single" w:color="auto" w:sz="4" w:space="0"/>
              <w:right w:val="single" w:color="auto" w:sz="4" w:space="0"/>
            </w:tcBorders>
            <w:vAlign w:val="center"/>
          </w:tcPr>
          <w:p w14:paraId="11549681">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sz w:val="24"/>
                <w:szCs w:val="24"/>
              </w:rPr>
              <w:t>重点项目</w:t>
            </w:r>
          </w:p>
        </w:tc>
        <w:tc>
          <w:tcPr>
            <w:tcW w:w="2123" w:type="dxa"/>
            <w:tcBorders>
              <w:top w:val="single" w:color="auto" w:sz="4" w:space="0"/>
              <w:left w:val="single" w:color="auto" w:sz="4" w:space="0"/>
              <w:bottom w:val="single" w:color="auto" w:sz="4" w:space="0"/>
              <w:right w:val="single" w:color="auto" w:sz="4" w:space="0"/>
            </w:tcBorders>
            <w:vAlign w:val="center"/>
          </w:tcPr>
          <w:p w14:paraId="1907F447">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RNA修饰调控心肌纤维化机制及风险预警研究</w:t>
            </w:r>
          </w:p>
        </w:tc>
        <w:tc>
          <w:tcPr>
            <w:tcW w:w="6404" w:type="dxa"/>
            <w:tcBorders>
              <w:top w:val="single" w:color="auto" w:sz="4" w:space="0"/>
              <w:left w:val="single" w:color="auto" w:sz="4" w:space="0"/>
              <w:bottom w:val="single" w:color="auto" w:sz="4" w:space="0"/>
              <w:right w:val="single" w:color="auto" w:sz="4" w:space="0"/>
            </w:tcBorders>
            <w:vAlign w:val="center"/>
          </w:tcPr>
          <w:p w14:paraId="0793E815">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围绕心肌纤维化机制尚未完全阐明、缺乏早期诊断标志物的需求，针对RNA修饰调控心肌成纤维细胞自噬机制不明的问题，研究RNA甲基化修饰关键调控分子在成纤维细胞活化及基质沉积中的机制，解析“RNA代谢-自噬”轴的动态调控规律，筛选特异性血液标志物，结合影像学构建心肌纤维化早期识别与风险分层模型。</w:t>
            </w:r>
          </w:p>
        </w:tc>
        <w:tc>
          <w:tcPr>
            <w:tcW w:w="1373" w:type="dxa"/>
            <w:tcBorders>
              <w:top w:val="single" w:color="auto" w:sz="4" w:space="0"/>
              <w:left w:val="single" w:color="auto" w:sz="4" w:space="0"/>
              <w:bottom w:val="single" w:color="auto" w:sz="4" w:space="0"/>
              <w:right w:val="single" w:color="auto" w:sz="4" w:space="0"/>
            </w:tcBorders>
            <w:vAlign w:val="center"/>
          </w:tcPr>
          <w:p w14:paraId="70ED38CE">
            <w:pPr>
              <w:spacing w:line="0" w:lineRule="atLeast"/>
              <w:jc w:val="center"/>
              <w:rPr>
                <w:rFonts w:hint="eastAsia" w:ascii="Times New Roman" w:hAnsi="Times New Roman" w:eastAsia="方正仿宋_GBK" w:cs="Times New Roman"/>
                <w:sz w:val="24"/>
                <w:szCs w:val="24"/>
                <w:lang w:val="en-US" w:eastAsia="zh-CN"/>
              </w:rPr>
            </w:pPr>
            <w:r>
              <w:rPr>
                <w:rFonts w:hint="eastAsia" w:ascii="Times New Roman" w:hAnsi="Times New Roman" w:eastAsia="方正仿宋_GBK" w:cs="方正仿宋_GBK"/>
                <w:sz w:val="24"/>
                <w:szCs w:val="24"/>
                <w:lang w:val="en-US" w:eastAsia="zh-CN"/>
              </w:rPr>
              <w:t>3</w:t>
            </w:r>
            <w:r>
              <w:rPr>
                <w:rFonts w:hint="eastAsia" w:ascii="Times New Roman" w:hAnsi="Times New Roman" w:eastAsia="方正仿宋_GBK" w:cs="方正仿宋_GBK"/>
                <w:sz w:val="24"/>
                <w:szCs w:val="24"/>
              </w:rPr>
              <w:t>0</w:t>
            </w:r>
          </w:p>
        </w:tc>
        <w:tc>
          <w:tcPr>
            <w:tcW w:w="1383" w:type="dxa"/>
            <w:tcBorders>
              <w:top w:val="single" w:color="auto" w:sz="4" w:space="0"/>
              <w:left w:val="single" w:color="auto" w:sz="4" w:space="0"/>
              <w:bottom w:val="single" w:color="auto" w:sz="4" w:space="0"/>
              <w:right w:val="single" w:color="auto" w:sz="4" w:space="0"/>
            </w:tcBorders>
            <w:vAlign w:val="center"/>
          </w:tcPr>
          <w:p w14:paraId="68694ECE">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olor w:val="auto"/>
                <w:sz w:val="24"/>
                <w:szCs w:val="24"/>
                <w:highlight w:val="none"/>
                <w:lang w:val="en-US" w:eastAsia="zh-CN"/>
              </w:rPr>
              <w:t>≤36个月</w:t>
            </w:r>
          </w:p>
        </w:tc>
      </w:tr>
      <w:tr w14:paraId="1D76D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1" w:hRule="atLeast"/>
          <w:jc w:val="center"/>
        </w:trPr>
        <w:tc>
          <w:tcPr>
            <w:tcW w:w="1127" w:type="dxa"/>
            <w:tcBorders>
              <w:top w:val="single" w:color="auto" w:sz="4" w:space="0"/>
              <w:left w:val="single" w:color="auto" w:sz="4" w:space="0"/>
              <w:bottom w:val="single" w:color="auto" w:sz="4" w:space="0"/>
              <w:right w:val="single" w:color="auto" w:sz="4" w:space="0"/>
            </w:tcBorders>
            <w:vAlign w:val="center"/>
          </w:tcPr>
          <w:p w14:paraId="2A98F952">
            <w:pPr>
              <w:widowControl/>
              <w:spacing w:line="0" w:lineRule="atLeast"/>
              <w:jc w:val="center"/>
              <w:rPr>
                <w:rFonts w:ascii="Times New Roman" w:hAnsi="Times New Roman" w:eastAsia="方正仿宋_GBK" w:cs="Times New Roman"/>
                <w:color w:val="auto"/>
                <w:sz w:val="24"/>
                <w:szCs w:val="24"/>
              </w:rPr>
            </w:pPr>
            <w:r>
              <w:rPr>
                <w:rFonts w:hint="eastAsia" w:ascii="Times New Roman" w:hAnsi="Times New Roman" w:eastAsia="方正仿宋_GBK" w:cs="方正仿宋_GBK"/>
                <w:kern w:val="0"/>
                <w:sz w:val="24"/>
                <w:szCs w:val="24"/>
                <w:lang w:val="en-US" w:eastAsia="zh-CN"/>
              </w:rPr>
              <w:t>3-9</w:t>
            </w:r>
          </w:p>
        </w:tc>
        <w:tc>
          <w:tcPr>
            <w:tcW w:w="1287" w:type="dxa"/>
            <w:tcBorders>
              <w:top w:val="single" w:color="auto" w:sz="4" w:space="0"/>
              <w:left w:val="single" w:color="auto" w:sz="4" w:space="0"/>
              <w:bottom w:val="single" w:color="auto" w:sz="4" w:space="0"/>
              <w:right w:val="single" w:color="auto" w:sz="4" w:space="0"/>
            </w:tcBorders>
            <w:vAlign w:val="center"/>
          </w:tcPr>
          <w:p w14:paraId="3B304CD3">
            <w:pPr>
              <w:spacing w:line="0" w:lineRule="atLeast"/>
              <w:jc w:val="center"/>
              <w:rPr>
                <w:rFonts w:ascii="Times New Roman" w:hAnsi="Times New Roman" w:eastAsia="方正仿宋_GBK" w:cs="Times New Roman"/>
                <w:color w:val="auto"/>
                <w:sz w:val="24"/>
                <w:szCs w:val="24"/>
              </w:rPr>
            </w:pPr>
            <w:r>
              <w:rPr>
                <w:rFonts w:hint="eastAsia" w:ascii="Times New Roman" w:hAnsi="Times New Roman" w:eastAsia="方正仿宋_GBK" w:cs="方正仿宋_GBK"/>
                <w:sz w:val="24"/>
                <w:szCs w:val="24"/>
              </w:rPr>
              <w:t>重点项目</w:t>
            </w:r>
          </w:p>
        </w:tc>
        <w:tc>
          <w:tcPr>
            <w:tcW w:w="2123" w:type="dxa"/>
            <w:tcBorders>
              <w:top w:val="single" w:color="auto" w:sz="4" w:space="0"/>
              <w:left w:val="single" w:color="auto" w:sz="4" w:space="0"/>
              <w:bottom w:val="single" w:color="auto" w:sz="4" w:space="0"/>
              <w:right w:val="single" w:color="auto" w:sz="4" w:space="0"/>
            </w:tcBorders>
            <w:vAlign w:val="center"/>
          </w:tcPr>
          <w:p w14:paraId="7C72AE3A">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color w:val="auto"/>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AI赋能超声多模态数据融合的乳腺癌全流程精准管理平台构建研究</w:t>
            </w:r>
          </w:p>
        </w:tc>
        <w:tc>
          <w:tcPr>
            <w:tcW w:w="6404" w:type="dxa"/>
            <w:tcBorders>
              <w:top w:val="single" w:color="auto" w:sz="4" w:space="0"/>
              <w:left w:val="single" w:color="auto" w:sz="4" w:space="0"/>
              <w:bottom w:val="single" w:color="auto" w:sz="4" w:space="0"/>
              <w:right w:val="single" w:color="auto" w:sz="4" w:space="0"/>
            </w:tcBorders>
            <w:vAlign w:val="center"/>
          </w:tcPr>
          <w:p w14:paraId="0D045A78">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color w:val="auto"/>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立足乳腺癌早诊早治与全流程管理需求，基于显微造影、粘弹性成像等超声新技术，聚焦多模态数据标准化及其与临床信息在AI驱动下的可信融合、标准化判读与闭环决策等问题，开展面向超声的视觉语言大模型研究，实现早筛早诊、决策选择及疗效评估的闭环，形成可解释、可验证的证据链与规范化评价体系。</w:t>
            </w:r>
          </w:p>
        </w:tc>
        <w:tc>
          <w:tcPr>
            <w:tcW w:w="1373" w:type="dxa"/>
            <w:tcBorders>
              <w:top w:val="single" w:color="auto" w:sz="4" w:space="0"/>
              <w:left w:val="single" w:color="auto" w:sz="4" w:space="0"/>
              <w:bottom w:val="single" w:color="auto" w:sz="4" w:space="0"/>
              <w:right w:val="single" w:color="auto" w:sz="4" w:space="0"/>
            </w:tcBorders>
            <w:vAlign w:val="center"/>
          </w:tcPr>
          <w:p w14:paraId="05BF34BC">
            <w:pPr>
              <w:spacing w:line="0" w:lineRule="atLeast"/>
              <w:jc w:val="center"/>
              <w:rPr>
                <w:rFonts w:hint="eastAsia" w:ascii="Times New Roman" w:hAnsi="Times New Roman" w:eastAsia="方正仿宋_GBK" w:cs="Times New Roman"/>
                <w:sz w:val="24"/>
                <w:szCs w:val="24"/>
                <w:lang w:val="en-US" w:eastAsia="zh-CN"/>
              </w:rPr>
            </w:pPr>
            <w:r>
              <w:rPr>
                <w:rFonts w:hint="eastAsia" w:ascii="Times New Roman" w:hAnsi="Times New Roman" w:eastAsia="方正仿宋_GBK" w:cs="方正仿宋_GBK"/>
                <w:sz w:val="24"/>
                <w:szCs w:val="24"/>
                <w:lang w:val="en-US" w:eastAsia="zh-CN"/>
              </w:rPr>
              <w:t>3</w:t>
            </w:r>
            <w:r>
              <w:rPr>
                <w:rFonts w:hint="eastAsia" w:ascii="Times New Roman" w:hAnsi="Times New Roman" w:eastAsia="方正仿宋_GBK" w:cs="方正仿宋_GBK"/>
                <w:sz w:val="24"/>
                <w:szCs w:val="24"/>
              </w:rPr>
              <w:t>0</w:t>
            </w:r>
          </w:p>
        </w:tc>
        <w:tc>
          <w:tcPr>
            <w:tcW w:w="1383" w:type="dxa"/>
            <w:tcBorders>
              <w:top w:val="single" w:color="auto" w:sz="4" w:space="0"/>
              <w:left w:val="single" w:color="auto" w:sz="4" w:space="0"/>
              <w:bottom w:val="single" w:color="auto" w:sz="4" w:space="0"/>
              <w:right w:val="single" w:color="auto" w:sz="4" w:space="0"/>
            </w:tcBorders>
            <w:vAlign w:val="center"/>
          </w:tcPr>
          <w:p w14:paraId="3CAF0A95">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olor w:val="auto"/>
                <w:sz w:val="24"/>
                <w:szCs w:val="24"/>
                <w:highlight w:val="none"/>
                <w:lang w:val="en-US" w:eastAsia="zh-CN"/>
              </w:rPr>
              <w:t>≤36个月</w:t>
            </w:r>
          </w:p>
        </w:tc>
      </w:tr>
      <w:tr w14:paraId="35E40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6" w:hRule="atLeast"/>
          <w:jc w:val="center"/>
        </w:trPr>
        <w:tc>
          <w:tcPr>
            <w:tcW w:w="1127" w:type="dxa"/>
            <w:tcBorders>
              <w:top w:val="single" w:color="auto" w:sz="4" w:space="0"/>
              <w:left w:val="single" w:color="auto" w:sz="4" w:space="0"/>
              <w:bottom w:val="single" w:color="auto" w:sz="4" w:space="0"/>
              <w:right w:val="single" w:color="auto" w:sz="4" w:space="0"/>
            </w:tcBorders>
            <w:vAlign w:val="center"/>
          </w:tcPr>
          <w:p w14:paraId="4303073A">
            <w:pPr>
              <w:widowControl/>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kern w:val="0"/>
                <w:sz w:val="24"/>
                <w:szCs w:val="24"/>
                <w:lang w:val="en-US" w:eastAsia="zh-CN"/>
              </w:rPr>
              <w:t>3-10</w:t>
            </w:r>
          </w:p>
        </w:tc>
        <w:tc>
          <w:tcPr>
            <w:tcW w:w="1287" w:type="dxa"/>
            <w:tcBorders>
              <w:top w:val="single" w:color="auto" w:sz="4" w:space="0"/>
              <w:left w:val="single" w:color="auto" w:sz="4" w:space="0"/>
              <w:bottom w:val="single" w:color="auto" w:sz="4" w:space="0"/>
              <w:right w:val="single" w:color="auto" w:sz="4" w:space="0"/>
            </w:tcBorders>
            <w:vAlign w:val="center"/>
          </w:tcPr>
          <w:p w14:paraId="4B3D3760">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sz w:val="24"/>
                <w:szCs w:val="24"/>
              </w:rPr>
              <w:t>重点项目</w:t>
            </w:r>
          </w:p>
        </w:tc>
        <w:tc>
          <w:tcPr>
            <w:tcW w:w="2123" w:type="dxa"/>
            <w:tcBorders>
              <w:top w:val="single" w:color="auto" w:sz="4" w:space="0"/>
              <w:left w:val="single" w:color="auto" w:sz="4" w:space="0"/>
              <w:bottom w:val="single" w:color="auto" w:sz="4" w:space="0"/>
              <w:right w:val="single" w:color="auto" w:sz="4" w:space="0"/>
            </w:tcBorders>
            <w:vAlign w:val="center"/>
          </w:tcPr>
          <w:p w14:paraId="1A212D05">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面向基层医疗与急危重症场景下的远程超声关键技术研究</w:t>
            </w:r>
          </w:p>
        </w:tc>
        <w:tc>
          <w:tcPr>
            <w:tcW w:w="6404" w:type="dxa"/>
            <w:tcBorders>
              <w:top w:val="single" w:color="auto" w:sz="4" w:space="0"/>
              <w:left w:val="single" w:color="auto" w:sz="4" w:space="0"/>
              <w:bottom w:val="single" w:color="auto" w:sz="4" w:space="0"/>
              <w:right w:val="single" w:color="auto" w:sz="4" w:space="0"/>
            </w:tcBorders>
            <w:vAlign w:val="center"/>
          </w:tcPr>
          <w:p w14:paraId="55D8AFDB">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针对基层场景下创伤、高原性肺水肿等急危重症超声缺乏专业医师实施和超声诊疗技术薄弱的需求，聚焦远程超声信号同步传输与精准操作控制的问题，开展基于力反馈、智控系统与AI算法融合的远程超声诊断系统研究，探索高保真影像同步传输、远程操控反馈的关键技术，并实现智能辅助诊断的远程超声平台。</w:t>
            </w:r>
          </w:p>
        </w:tc>
        <w:tc>
          <w:tcPr>
            <w:tcW w:w="1373" w:type="dxa"/>
            <w:tcBorders>
              <w:top w:val="single" w:color="auto" w:sz="4" w:space="0"/>
              <w:left w:val="single" w:color="auto" w:sz="4" w:space="0"/>
              <w:bottom w:val="single" w:color="auto" w:sz="4" w:space="0"/>
              <w:right w:val="single" w:color="auto" w:sz="4" w:space="0"/>
            </w:tcBorders>
            <w:vAlign w:val="center"/>
          </w:tcPr>
          <w:p w14:paraId="22ABFA3A">
            <w:pPr>
              <w:spacing w:line="0" w:lineRule="atLeast"/>
              <w:jc w:val="center"/>
              <w:rPr>
                <w:rFonts w:hint="eastAsia" w:ascii="Times New Roman" w:hAnsi="Times New Roman" w:eastAsia="方正仿宋_GBK" w:cs="Times New Roman"/>
                <w:sz w:val="24"/>
                <w:szCs w:val="24"/>
                <w:lang w:val="en-US" w:eastAsia="zh-CN"/>
              </w:rPr>
            </w:pPr>
            <w:r>
              <w:rPr>
                <w:rFonts w:hint="eastAsia" w:ascii="Times New Roman" w:hAnsi="Times New Roman" w:eastAsia="方正仿宋_GBK" w:cs="方正仿宋_GBK"/>
                <w:sz w:val="24"/>
                <w:szCs w:val="24"/>
                <w:lang w:val="en-US" w:eastAsia="zh-CN"/>
              </w:rPr>
              <w:t>3</w:t>
            </w:r>
            <w:r>
              <w:rPr>
                <w:rFonts w:hint="eastAsia" w:ascii="Times New Roman" w:hAnsi="Times New Roman" w:eastAsia="方正仿宋_GBK" w:cs="方正仿宋_GBK"/>
                <w:sz w:val="24"/>
                <w:szCs w:val="24"/>
              </w:rPr>
              <w:t>0</w:t>
            </w:r>
          </w:p>
        </w:tc>
        <w:tc>
          <w:tcPr>
            <w:tcW w:w="1383" w:type="dxa"/>
            <w:tcBorders>
              <w:top w:val="single" w:color="auto" w:sz="4" w:space="0"/>
              <w:left w:val="single" w:color="auto" w:sz="4" w:space="0"/>
              <w:bottom w:val="single" w:color="auto" w:sz="4" w:space="0"/>
              <w:right w:val="single" w:color="auto" w:sz="4" w:space="0"/>
            </w:tcBorders>
            <w:vAlign w:val="center"/>
          </w:tcPr>
          <w:p w14:paraId="5A293A4E">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olor w:val="auto"/>
                <w:sz w:val="24"/>
                <w:szCs w:val="24"/>
                <w:highlight w:val="none"/>
                <w:lang w:val="en-US" w:eastAsia="zh-CN"/>
              </w:rPr>
              <w:t>≤36个月</w:t>
            </w:r>
          </w:p>
        </w:tc>
      </w:tr>
      <w:tr w14:paraId="7489C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3" w:hRule="atLeast"/>
          <w:jc w:val="center"/>
        </w:trPr>
        <w:tc>
          <w:tcPr>
            <w:tcW w:w="1127" w:type="dxa"/>
            <w:tcBorders>
              <w:top w:val="single" w:color="auto" w:sz="4" w:space="0"/>
              <w:left w:val="single" w:color="auto" w:sz="4" w:space="0"/>
              <w:bottom w:val="single" w:color="auto" w:sz="4" w:space="0"/>
              <w:right w:val="single" w:color="auto" w:sz="4" w:space="0"/>
            </w:tcBorders>
            <w:vAlign w:val="center"/>
          </w:tcPr>
          <w:p w14:paraId="2F87191C">
            <w:pPr>
              <w:widowControl/>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kern w:val="0"/>
                <w:sz w:val="24"/>
                <w:szCs w:val="24"/>
                <w:lang w:val="en-US" w:eastAsia="zh-CN"/>
              </w:rPr>
              <w:t>3-11</w:t>
            </w:r>
          </w:p>
        </w:tc>
        <w:tc>
          <w:tcPr>
            <w:tcW w:w="1287" w:type="dxa"/>
            <w:tcBorders>
              <w:top w:val="single" w:color="auto" w:sz="4" w:space="0"/>
              <w:left w:val="single" w:color="auto" w:sz="4" w:space="0"/>
              <w:bottom w:val="single" w:color="auto" w:sz="4" w:space="0"/>
              <w:right w:val="single" w:color="auto" w:sz="4" w:space="0"/>
            </w:tcBorders>
            <w:vAlign w:val="center"/>
          </w:tcPr>
          <w:p w14:paraId="368EF99F">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sz w:val="24"/>
                <w:szCs w:val="24"/>
                <w:lang w:val="en-US" w:eastAsia="zh-CN"/>
              </w:rPr>
              <w:t>面上</w:t>
            </w:r>
            <w:r>
              <w:rPr>
                <w:rFonts w:hint="eastAsia" w:ascii="Times New Roman" w:hAnsi="Times New Roman" w:eastAsia="方正仿宋_GBK" w:cs="方正仿宋_GBK"/>
                <w:sz w:val="24"/>
                <w:szCs w:val="24"/>
              </w:rPr>
              <w:t>项目</w:t>
            </w:r>
          </w:p>
        </w:tc>
        <w:tc>
          <w:tcPr>
            <w:tcW w:w="2123" w:type="dxa"/>
            <w:tcBorders>
              <w:top w:val="single" w:color="auto" w:sz="4" w:space="0"/>
              <w:left w:val="single" w:color="auto" w:sz="4" w:space="0"/>
              <w:bottom w:val="single" w:color="auto" w:sz="4" w:space="0"/>
              <w:right w:val="single" w:color="auto" w:sz="4" w:space="0"/>
            </w:tcBorders>
            <w:vAlign w:val="center"/>
          </w:tcPr>
          <w:p w14:paraId="4CA234B2">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急性心肌梗死后心肌细胞焦亡的分子调控网络与新型干预靶点研究</w:t>
            </w:r>
          </w:p>
        </w:tc>
        <w:tc>
          <w:tcPr>
            <w:tcW w:w="6404" w:type="dxa"/>
            <w:tcBorders>
              <w:top w:val="single" w:color="auto" w:sz="4" w:space="0"/>
              <w:left w:val="single" w:color="auto" w:sz="4" w:space="0"/>
              <w:bottom w:val="single" w:color="auto" w:sz="4" w:space="0"/>
              <w:right w:val="single" w:color="auto" w:sz="4" w:space="0"/>
            </w:tcBorders>
            <w:vAlign w:val="center"/>
          </w:tcPr>
          <w:p w14:paraId="3CD18A00">
            <w:pPr>
              <w:widowControl/>
              <w:spacing w:line="0" w:lineRule="atLeast"/>
              <w:jc w:val="both"/>
              <w:rPr>
                <w:rFonts w:hint="eastAsia" w:ascii="方正仿宋_GBK" w:hAnsi="方正仿宋_GBK" w:eastAsia="方正仿宋_GBK" w:cs="方正仿宋_GBK"/>
                <w:sz w:val="24"/>
                <w:szCs w:val="24"/>
              </w:rPr>
            </w:pPr>
          </w:p>
        </w:tc>
        <w:tc>
          <w:tcPr>
            <w:tcW w:w="1373" w:type="dxa"/>
            <w:tcBorders>
              <w:top w:val="single" w:color="auto" w:sz="4" w:space="0"/>
              <w:left w:val="single" w:color="auto" w:sz="4" w:space="0"/>
              <w:bottom w:val="single" w:color="auto" w:sz="4" w:space="0"/>
              <w:right w:val="single" w:color="auto" w:sz="4" w:space="0"/>
            </w:tcBorders>
            <w:vAlign w:val="center"/>
          </w:tcPr>
          <w:p w14:paraId="71210452">
            <w:pPr>
              <w:spacing w:line="0" w:lineRule="atLeast"/>
              <w:jc w:val="center"/>
              <w:rPr>
                <w:rFonts w:hint="eastAsia" w:ascii="Times New Roman" w:hAnsi="Times New Roman" w:eastAsia="方正仿宋_GBK" w:cs="Times New Roman"/>
                <w:sz w:val="24"/>
                <w:szCs w:val="24"/>
                <w:lang w:val="en-US" w:eastAsia="zh-CN"/>
              </w:rPr>
            </w:pPr>
            <w:r>
              <w:rPr>
                <w:rFonts w:hint="eastAsia" w:ascii="Times New Roman" w:hAnsi="Times New Roman" w:eastAsia="方正仿宋_GBK" w:cs="方正仿宋_GBK"/>
                <w:sz w:val="24"/>
                <w:szCs w:val="24"/>
                <w:lang w:val="en-US" w:eastAsia="zh-CN"/>
              </w:rPr>
              <w:t>10</w:t>
            </w:r>
          </w:p>
        </w:tc>
        <w:tc>
          <w:tcPr>
            <w:tcW w:w="1383" w:type="dxa"/>
            <w:tcBorders>
              <w:top w:val="single" w:color="auto" w:sz="4" w:space="0"/>
              <w:left w:val="single" w:color="auto" w:sz="4" w:space="0"/>
              <w:bottom w:val="single" w:color="auto" w:sz="4" w:space="0"/>
              <w:right w:val="single" w:color="auto" w:sz="4" w:space="0"/>
            </w:tcBorders>
            <w:vAlign w:val="center"/>
          </w:tcPr>
          <w:p w14:paraId="3415939A">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olor w:val="auto"/>
                <w:sz w:val="24"/>
                <w:szCs w:val="24"/>
                <w:highlight w:val="none"/>
                <w:lang w:val="en-US" w:eastAsia="zh-CN"/>
              </w:rPr>
              <w:t>≤36个月</w:t>
            </w:r>
          </w:p>
        </w:tc>
      </w:tr>
      <w:tr w14:paraId="69701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8" w:hRule="atLeast"/>
          <w:jc w:val="center"/>
        </w:trPr>
        <w:tc>
          <w:tcPr>
            <w:tcW w:w="1127" w:type="dxa"/>
            <w:tcBorders>
              <w:top w:val="single" w:color="auto" w:sz="4" w:space="0"/>
              <w:left w:val="single" w:color="auto" w:sz="4" w:space="0"/>
              <w:bottom w:val="single" w:color="auto" w:sz="4" w:space="0"/>
              <w:right w:val="single" w:color="auto" w:sz="4" w:space="0"/>
            </w:tcBorders>
            <w:vAlign w:val="center"/>
          </w:tcPr>
          <w:p w14:paraId="7C8830E1">
            <w:pPr>
              <w:widowControl/>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kern w:val="0"/>
                <w:sz w:val="24"/>
                <w:szCs w:val="24"/>
                <w:lang w:val="en-US" w:eastAsia="zh-CN"/>
              </w:rPr>
              <w:t>3-12</w:t>
            </w:r>
          </w:p>
        </w:tc>
        <w:tc>
          <w:tcPr>
            <w:tcW w:w="1287" w:type="dxa"/>
            <w:tcBorders>
              <w:top w:val="single" w:color="auto" w:sz="4" w:space="0"/>
              <w:left w:val="single" w:color="auto" w:sz="4" w:space="0"/>
              <w:bottom w:val="single" w:color="auto" w:sz="4" w:space="0"/>
              <w:right w:val="single" w:color="auto" w:sz="4" w:space="0"/>
            </w:tcBorders>
            <w:vAlign w:val="center"/>
          </w:tcPr>
          <w:p w14:paraId="255AC7CF">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sz w:val="24"/>
                <w:szCs w:val="24"/>
                <w:lang w:val="en-US" w:eastAsia="zh-CN"/>
              </w:rPr>
              <w:t>面上</w:t>
            </w:r>
            <w:r>
              <w:rPr>
                <w:rFonts w:hint="eastAsia" w:ascii="Times New Roman" w:hAnsi="Times New Roman" w:eastAsia="方正仿宋_GBK" w:cs="方正仿宋_GBK"/>
                <w:sz w:val="24"/>
                <w:szCs w:val="24"/>
              </w:rPr>
              <w:t>项目</w:t>
            </w:r>
          </w:p>
        </w:tc>
        <w:tc>
          <w:tcPr>
            <w:tcW w:w="2123" w:type="dxa"/>
            <w:tcBorders>
              <w:top w:val="single" w:color="auto" w:sz="4" w:space="0"/>
              <w:left w:val="single" w:color="auto" w:sz="4" w:space="0"/>
              <w:bottom w:val="single" w:color="auto" w:sz="4" w:space="0"/>
              <w:right w:val="single" w:color="auto" w:sz="4" w:space="0"/>
            </w:tcBorders>
            <w:vAlign w:val="center"/>
          </w:tcPr>
          <w:p w14:paraId="4F1E32B3">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选择性顺行亚低温脑灌注结合氢气治疗在ECPR对脑保护效果的机制探究</w:t>
            </w:r>
          </w:p>
        </w:tc>
        <w:tc>
          <w:tcPr>
            <w:tcW w:w="6404" w:type="dxa"/>
            <w:tcBorders>
              <w:top w:val="single" w:color="auto" w:sz="4" w:space="0"/>
              <w:left w:val="single" w:color="auto" w:sz="4" w:space="0"/>
              <w:bottom w:val="single" w:color="auto" w:sz="4" w:space="0"/>
              <w:right w:val="single" w:color="auto" w:sz="4" w:space="0"/>
            </w:tcBorders>
            <w:vAlign w:val="center"/>
          </w:tcPr>
          <w:p w14:paraId="4BCB2798">
            <w:pPr>
              <w:widowControl/>
              <w:spacing w:line="0" w:lineRule="atLeast"/>
              <w:jc w:val="both"/>
              <w:rPr>
                <w:rFonts w:hint="eastAsia" w:ascii="方正仿宋_GBK" w:hAnsi="方正仿宋_GBK" w:eastAsia="方正仿宋_GBK" w:cs="方正仿宋_GBK"/>
                <w:sz w:val="24"/>
                <w:szCs w:val="24"/>
              </w:rPr>
            </w:pPr>
          </w:p>
        </w:tc>
        <w:tc>
          <w:tcPr>
            <w:tcW w:w="1373" w:type="dxa"/>
            <w:tcBorders>
              <w:top w:val="single" w:color="auto" w:sz="4" w:space="0"/>
              <w:left w:val="single" w:color="auto" w:sz="4" w:space="0"/>
              <w:bottom w:val="single" w:color="auto" w:sz="4" w:space="0"/>
              <w:right w:val="single" w:color="auto" w:sz="4" w:space="0"/>
            </w:tcBorders>
            <w:vAlign w:val="center"/>
          </w:tcPr>
          <w:p w14:paraId="202F22C1">
            <w:pPr>
              <w:spacing w:line="0" w:lineRule="atLeast"/>
              <w:jc w:val="center"/>
              <w:rPr>
                <w:rFonts w:hint="eastAsia" w:ascii="Times New Roman" w:hAnsi="Times New Roman" w:eastAsia="方正仿宋_GBK" w:cs="Times New Roman"/>
                <w:sz w:val="24"/>
                <w:szCs w:val="24"/>
                <w:lang w:val="en-US" w:eastAsia="zh-CN"/>
              </w:rPr>
            </w:pPr>
            <w:r>
              <w:rPr>
                <w:rFonts w:hint="eastAsia" w:ascii="Times New Roman" w:hAnsi="Times New Roman" w:eastAsia="方正仿宋_GBK" w:cs="方正仿宋_GBK"/>
                <w:sz w:val="24"/>
                <w:szCs w:val="24"/>
                <w:lang w:val="en-US" w:eastAsia="zh-CN"/>
              </w:rPr>
              <w:t>10</w:t>
            </w:r>
          </w:p>
        </w:tc>
        <w:tc>
          <w:tcPr>
            <w:tcW w:w="1383" w:type="dxa"/>
            <w:tcBorders>
              <w:top w:val="single" w:color="auto" w:sz="4" w:space="0"/>
              <w:left w:val="single" w:color="auto" w:sz="4" w:space="0"/>
              <w:bottom w:val="single" w:color="auto" w:sz="4" w:space="0"/>
              <w:right w:val="single" w:color="auto" w:sz="4" w:space="0"/>
            </w:tcBorders>
            <w:vAlign w:val="center"/>
          </w:tcPr>
          <w:p w14:paraId="62B26246">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olor w:val="auto"/>
                <w:sz w:val="24"/>
                <w:szCs w:val="24"/>
                <w:highlight w:val="none"/>
                <w:lang w:val="en-US" w:eastAsia="zh-CN"/>
              </w:rPr>
              <w:t>≤36个月</w:t>
            </w:r>
          </w:p>
        </w:tc>
      </w:tr>
      <w:tr w14:paraId="4A013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1" w:hRule="atLeast"/>
          <w:jc w:val="center"/>
        </w:trPr>
        <w:tc>
          <w:tcPr>
            <w:tcW w:w="1127" w:type="dxa"/>
            <w:tcBorders>
              <w:top w:val="single" w:color="auto" w:sz="4" w:space="0"/>
              <w:left w:val="single" w:color="auto" w:sz="4" w:space="0"/>
              <w:bottom w:val="single" w:color="auto" w:sz="4" w:space="0"/>
              <w:right w:val="single" w:color="auto" w:sz="4" w:space="0"/>
            </w:tcBorders>
            <w:vAlign w:val="center"/>
          </w:tcPr>
          <w:p w14:paraId="0B5BFBEB">
            <w:pPr>
              <w:widowControl/>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kern w:val="0"/>
                <w:sz w:val="24"/>
                <w:szCs w:val="24"/>
                <w:lang w:val="en-US" w:eastAsia="zh-CN"/>
              </w:rPr>
              <w:t>3-13</w:t>
            </w:r>
          </w:p>
        </w:tc>
        <w:tc>
          <w:tcPr>
            <w:tcW w:w="1287" w:type="dxa"/>
            <w:tcBorders>
              <w:top w:val="single" w:color="auto" w:sz="4" w:space="0"/>
              <w:left w:val="single" w:color="auto" w:sz="4" w:space="0"/>
              <w:bottom w:val="single" w:color="auto" w:sz="4" w:space="0"/>
              <w:right w:val="single" w:color="auto" w:sz="4" w:space="0"/>
            </w:tcBorders>
            <w:vAlign w:val="center"/>
          </w:tcPr>
          <w:p w14:paraId="4766C27A">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sz w:val="24"/>
                <w:szCs w:val="24"/>
                <w:lang w:val="en-US" w:eastAsia="zh-CN"/>
              </w:rPr>
              <w:t>面上</w:t>
            </w:r>
            <w:r>
              <w:rPr>
                <w:rFonts w:hint="eastAsia" w:ascii="Times New Roman" w:hAnsi="Times New Roman" w:eastAsia="方正仿宋_GBK" w:cs="方正仿宋_GBK"/>
                <w:sz w:val="24"/>
                <w:szCs w:val="24"/>
              </w:rPr>
              <w:t>项目</w:t>
            </w:r>
          </w:p>
        </w:tc>
        <w:tc>
          <w:tcPr>
            <w:tcW w:w="2123" w:type="dxa"/>
            <w:tcBorders>
              <w:top w:val="single" w:color="auto" w:sz="4" w:space="0"/>
              <w:left w:val="single" w:color="auto" w:sz="4" w:space="0"/>
              <w:bottom w:val="single" w:color="auto" w:sz="4" w:space="0"/>
              <w:right w:val="single" w:color="auto" w:sz="4" w:space="0"/>
            </w:tcBorders>
            <w:vAlign w:val="center"/>
          </w:tcPr>
          <w:p w14:paraId="2E7FC58B">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多囊肾病相关心血管并发症的机制研究</w:t>
            </w:r>
          </w:p>
        </w:tc>
        <w:tc>
          <w:tcPr>
            <w:tcW w:w="6404" w:type="dxa"/>
            <w:tcBorders>
              <w:top w:val="single" w:color="auto" w:sz="4" w:space="0"/>
              <w:left w:val="single" w:color="auto" w:sz="4" w:space="0"/>
              <w:bottom w:val="single" w:color="auto" w:sz="4" w:space="0"/>
              <w:right w:val="single" w:color="auto" w:sz="4" w:space="0"/>
            </w:tcBorders>
            <w:vAlign w:val="center"/>
          </w:tcPr>
          <w:p w14:paraId="65679A07">
            <w:pPr>
              <w:widowControl/>
              <w:spacing w:line="0" w:lineRule="atLeast"/>
              <w:jc w:val="both"/>
              <w:rPr>
                <w:rFonts w:hint="eastAsia" w:ascii="方正仿宋_GBK" w:hAnsi="方正仿宋_GBK" w:eastAsia="方正仿宋_GBK" w:cs="方正仿宋_GBK"/>
                <w:sz w:val="24"/>
                <w:szCs w:val="24"/>
              </w:rPr>
            </w:pPr>
          </w:p>
        </w:tc>
        <w:tc>
          <w:tcPr>
            <w:tcW w:w="1373" w:type="dxa"/>
            <w:tcBorders>
              <w:top w:val="single" w:color="auto" w:sz="4" w:space="0"/>
              <w:left w:val="single" w:color="auto" w:sz="4" w:space="0"/>
              <w:bottom w:val="single" w:color="auto" w:sz="4" w:space="0"/>
              <w:right w:val="single" w:color="auto" w:sz="4" w:space="0"/>
            </w:tcBorders>
            <w:vAlign w:val="center"/>
          </w:tcPr>
          <w:p w14:paraId="698ADD6C">
            <w:pPr>
              <w:spacing w:line="0" w:lineRule="atLeast"/>
              <w:jc w:val="center"/>
              <w:rPr>
                <w:rFonts w:hint="eastAsia" w:ascii="Times New Roman" w:hAnsi="Times New Roman" w:eastAsia="方正仿宋_GBK" w:cs="Times New Roman"/>
                <w:sz w:val="24"/>
                <w:szCs w:val="24"/>
                <w:lang w:val="en-US" w:eastAsia="zh-CN"/>
              </w:rPr>
            </w:pPr>
            <w:r>
              <w:rPr>
                <w:rFonts w:hint="eastAsia" w:ascii="Times New Roman" w:hAnsi="Times New Roman" w:eastAsia="方正仿宋_GBK" w:cs="方正仿宋_GBK"/>
                <w:sz w:val="24"/>
                <w:szCs w:val="24"/>
                <w:lang w:val="en-US" w:eastAsia="zh-CN"/>
              </w:rPr>
              <w:t>10</w:t>
            </w:r>
          </w:p>
        </w:tc>
        <w:tc>
          <w:tcPr>
            <w:tcW w:w="1383" w:type="dxa"/>
            <w:tcBorders>
              <w:top w:val="single" w:color="auto" w:sz="4" w:space="0"/>
              <w:left w:val="single" w:color="auto" w:sz="4" w:space="0"/>
              <w:bottom w:val="single" w:color="auto" w:sz="4" w:space="0"/>
              <w:right w:val="single" w:color="auto" w:sz="4" w:space="0"/>
            </w:tcBorders>
            <w:vAlign w:val="center"/>
          </w:tcPr>
          <w:p w14:paraId="41B5D1E6">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olor w:val="auto"/>
                <w:sz w:val="24"/>
                <w:szCs w:val="24"/>
                <w:highlight w:val="none"/>
                <w:lang w:val="en-US" w:eastAsia="zh-CN"/>
              </w:rPr>
              <w:t>≤36个月</w:t>
            </w:r>
          </w:p>
        </w:tc>
      </w:tr>
      <w:tr w14:paraId="05B4A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7" w:type="dxa"/>
            <w:tcBorders>
              <w:top w:val="single" w:color="auto" w:sz="4" w:space="0"/>
              <w:left w:val="single" w:color="auto" w:sz="4" w:space="0"/>
              <w:bottom w:val="single" w:color="auto" w:sz="4" w:space="0"/>
              <w:right w:val="single" w:color="auto" w:sz="4" w:space="0"/>
            </w:tcBorders>
            <w:vAlign w:val="center"/>
          </w:tcPr>
          <w:p w14:paraId="5E429D5F">
            <w:pPr>
              <w:widowControl/>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kern w:val="0"/>
                <w:sz w:val="24"/>
                <w:szCs w:val="24"/>
                <w:lang w:val="en-US" w:eastAsia="zh-CN"/>
              </w:rPr>
              <w:t>3-14</w:t>
            </w:r>
          </w:p>
        </w:tc>
        <w:tc>
          <w:tcPr>
            <w:tcW w:w="1287" w:type="dxa"/>
            <w:tcBorders>
              <w:top w:val="single" w:color="auto" w:sz="4" w:space="0"/>
              <w:left w:val="single" w:color="auto" w:sz="4" w:space="0"/>
              <w:bottom w:val="single" w:color="auto" w:sz="4" w:space="0"/>
              <w:right w:val="single" w:color="auto" w:sz="4" w:space="0"/>
            </w:tcBorders>
            <w:vAlign w:val="center"/>
          </w:tcPr>
          <w:p w14:paraId="40D622CE">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sz w:val="24"/>
                <w:szCs w:val="24"/>
                <w:lang w:val="en-US" w:eastAsia="zh-CN"/>
              </w:rPr>
              <w:t>面上</w:t>
            </w:r>
            <w:r>
              <w:rPr>
                <w:rFonts w:hint="eastAsia" w:ascii="Times New Roman" w:hAnsi="Times New Roman" w:eastAsia="方正仿宋_GBK" w:cs="方正仿宋_GBK"/>
                <w:sz w:val="24"/>
                <w:szCs w:val="24"/>
              </w:rPr>
              <w:t>项目</w:t>
            </w:r>
          </w:p>
        </w:tc>
        <w:tc>
          <w:tcPr>
            <w:tcW w:w="2123" w:type="dxa"/>
            <w:tcBorders>
              <w:top w:val="single" w:color="auto" w:sz="4" w:space="0"/>
              <w:left w:val="single" w:color="auto" w:sz="4" w:space="0"/>
              <w:bottom w:val="single" w:color="auto" w:sz="4" w:space="0"/>
              <w:right w:val="single" w:color="auto" w:sz="4" w:space="0"/>
            </w:tcBorders>
            <w:vAlign w:val="center"/>
          </w:tcPr>
          <w:p w14:paraId="70CC965B">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“微生物-肠-脑轴”中磷脂代谢通路介导抑郁症发生的作用机制研究</w:t>
            </w:r>
          </w:p>
        </w:tc>
        <w:tc>
          <w:tcPr>
            <w:tcW w:w="6404" w:type="dxa"/>
            <w:tcBorders>
              <w:top w:val="single" w:color="auto" w:sz="4" w:space="0"/>
              <w:left w:val="single" w:color="auto" w:sz="4" w:space="0"/>
              <w:bottom w:val="single" w:color="auto" w:sz="4" w:space="0"/>
              <w:right w:val="single" w:color="auto" w:sz="4" w:space="0"/>
            </w:tcBorders>
            <w:vAlign w:val="center"/>
          </w:tcPr>
          <w:p w14:paraId="0DFF0022">
            <w:pPr>
              <w:widowControl/>
              <w:spacing w:line="0" w:lineRule="atLeast"/>
              <w:jc w:val="both"/>
              <w:rPr>
                <w:rFonts w:hint="eastAsia" w:ascii="方正仿宋_GBK" w:hAnsi="方正仿宋_GBK" w:eastAsia="方正仿宋_GBK" w:cs="方正仿宋_GBK"/>
                <w:sz w:val="24"/>
                <w:szCs w:val="24"/>
              </w:rPr>
            </w:pPr>
          </w:p>
        </w:tc>
        <w:tc>
          <w:tcPr>
            <w:tcW w:w="1373" w:type="dxa"/>
            <w:tcBorders>
              <w:top w:val="single" w:color="auto" w:sz="4" w:space="0"/>
              <w:left w:val="single" w:color="auto" w:sz="4" w:space="0"/>
              <w:bottom w:val="single" w:color="auto" w:sz="4" w:space="0"/>
              <w:right w:val="single" w:color="auto" w:sz="4" w:space="0"/>
            </w:tcBorders>
            <w:vAlign w:val="center"/>
          </w:tcPr>
          <w:p w14:paraId="07D52478">
            <w:pPr>
              <w:spacing w:line="0" w:lineRule="atLeast"/>
              <w:jc w:val="center"/>
              <w:rPr>
                <w:rFonts w:hint="eastAsia" w:ascii="Times New Roman" w:hAnsi="Times New Roman" w:eastAsia="方正仿宋_GBK" w:cs="Times New Roman"/>
                <w:sz w:val="24"/>
                <w:szCs w:val="24"/>
                <w:lang w:val="en-US" w:eastAsia="zh-CN"/>
              </w:rPr>
            </w:pPr>
            <w:r>
              <w:rPr>
                <w:rFonts w:hint="eastAsia" w:ascii="Times New Roman" w:hAnsi="Times New Roman" w:eastAsia="方正仿宋_GBK" w:cs="方正仿宋_GBK"/>
                <w:sz w:val="24"/>
                <w:szCs w:val="24"/>
                <w:lang w:val="en-US" w:eastAsia="zh-CN"/>
              </w:rPr>
              <w:t>10</w:t>
            </w:r>
          </w:p>
        </w:tc>
        <w:tc>
          <w:tcPr>
            <w:tcW w:w="1383" w:type="dxa"/>
            <w:tcBorders>
              <w:top w:val="single" w:color="auto" w:sz="4" w:space="0"/>
              <w:left w:val="single" w:color="auto" w:sz="4" w:space="0"/>
              <w:bottom w:val="single" w:color="auto" w:sz="4" w:space="0"/>
              <w:right w:val="single" w:color="auto" w:sz="4" w:space="0"/>
            </w:tcBorders>
            <w:vAlign w:val="center"/>
          </w:tcPr>
          <w:p w14:paraId="1641C6D4">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olor w:val="auto"/>
                <w:sz w:val="24"/>
                <w:szCs w:val="24"/>
                <w:highlight w:val="none"/>
                <w:lang w:val="en-US" w:eastAsia="zh-CN"/>
              </w:rPr>
              <w:t>≤36个月</w:t>
            </w:r>
          </w:p>
        </w:tc>
      </w:tr>
      <w:tr w14:paraId="7E8D3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9" w:hRule="atLeast"/>
          <w:jc w:val="center"/>
        </w:trPr>
        <w:tc>
          <w:tcPr>
            <w:tcW w:w="1127" w:type="dxa"/>
            <w:tcBorders>
              <w:top w:val="single" w:color="auto" w:sz="4" w:space="0"/>
              <w:left w:val="single" w:color="auto" w:sz="4" w:space="0"/>
              <w:bottom w:val="single" w:color="auto" w:sz="4" w:space="0"/>
              <w:right w:val="single" w:color="auto" w:sz="4" w:space="0"/>
            </w:tcBorders>
            <w:vAlign w:val="center"/>
          </w:tcPr>
          <w:p w14:paraId="515B38F1">
            <w:pPr>
              <w:widowControl/>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kern w:val="0"/>
                <w:sz w:val="24"/>
                <w:szCs w:val="24"/>
                <w:lang w:val="en-US" w:eastAsia="zh-CN"/>
              </w:rPr>
              <w:t>3-15</w:t>
            </w:r>
          </w:p>
        </w:tc>
        <w:tc>
          <w:tcPr>
            <w:tcW w:w="1287" w:type="dxa"/>
            <w:tcBorders>
              <w:top w:val="single" w:color="auto" w:sz="4" w:space="0"/>
              <w:left w:val="single" w:color="auto" w:sz="4" w:space="0"/>
              <w:bottom w:val="single" w:color="auto" w:sz="4" w:space="0"/>
              <w:right w:val="single" w:color="auto" w:sz="4" w:space="0"/>
            </w:tcBorders>
            <w:vAlign w:val="center"/>
          </w:tcPr>
          <w:p w14:paraId="4B884F6A">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sz w:val="24"/>
                <w:szCs w:val="24"/>
                <w:lang w:val="en-US" w:eastAsia="zh-CN"/>
              </w:rPr>
              <w:t>面上</w:t>
            </w:r>
            <w:r>
              <w:rPr>
                <w:rFonts w:hint="eastAsia" w:ascii="Times New Roman" w:hAnsi="Times New Roman" w:eastAsia="方正仿宋_GBK" w:cs="方正仿宋_GBK"/>
                <w:sz w:val="24"/>
                <w:szCs w:val="24"/>
              </w:rPr>
              <w:t>项目</w:t>
            </w:r>
          </w:p>
        </w:tc>
        <w:tc>
          <w:tcPr>
            <w:tcW w:w="2123" w:type="dxa"/>
            <w:tcBorders>
              <w:top w:val="single" w:color="auto" w:sz="4" w:space="0"/>
              <w:left w:val="single" w:color="auto" w:sz="4" w:space="0"/>
              <w:bottom w:val="single" w:color="auto" w:sz="4" w:space="0"/>
              <w:right w:val="single" w:color="auto" w:sz="4" w:space="0"/>
            </w:tcBorders>
            <w:vAlign w:val="center"/>
          </w:tcPr>
          <w:p w14:paraId="3B848EDB">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基于质谱-人工智能融合的临床致病菌耐药表型动态检测系统研究</w:t>
            </w:r>
          </w:p>
        </w:tc>
        <w:tc>
          <w:tcPr>
            <w:tcW w:w="6404" w:type="dxa"/>
            <w:tcBorders>
              <w:top w:val="single" w:color="auto" w:sz="4" w:space="0"/>
              <w:left w:val="single" w:color="auto" w:sz="4" w:space="0"/>
              <w:bottom w:val="single" w:color="auto" w:sz="4" w:space="0"/>
              <w:right w:val="single" w:color="auto" w:sz="4" w:space="0"/>
            </w:tcBorders>
            <w:vAlign w:val="center"/>
          </w:tcPr>
          <w:p w14:paraId="54C0D134">
            <w:pPr>
              <w:widowControl/>
              <w:spacing w:line="0" w:lineRule="atLeast"/>
              <w:jc w:val="both"/>
              <w:rPr>
                <w:rFonts w:hint="eastAsia" w:ascii="方正仿宋_GBK" w:hAnsi="方正仿宋_GBK" w:eastAsia="方正仿宋_GBK" w:cs="方正仿宋_GBK"/>
                <w:sz w:val="24"/>
                <w:szCs w:val="24"/>
              </w:rPr>
            </w:pPr>
          </w:p>
        </w:tc>
        <w:tc>
          <w:tcPr>
            <w:tcW w:w="1373" w:type="dxa"/>
            <w:tcBorders>
              <w:top w:val="single" w:color="auto" w:sz="4" w:space="0"/>
              <w:left w:val="single" w:color="auto" w:sz="4" w:space="0"/>
              <w:bottom w:val="single" w:color="auto" w:sz="4" w:space="0"/>
              <w:right w:val="single" w:color="auto" w:sz="4" w:space="0"/>
            </w:tcBorders>
            <w:vAlign w:val="center"/>
          </w:tcPr>
          <w:p w14:paraId="6E027FA1">
            <w:pPr>
              <w:spacing w:line="0" w:lineRule="atLeast"/>
              <w:jc w:val="center"/>
              <w:rPr>
                <w:rFonts w:hint="eastAsia" w:ascii="Times New Roman" w:hAnsi="Times New Roman" w:eastAsia="方正仿宋_GBK" w:cs="Times New Roman"/>
                <w:sz w:val="24"/>
                <w:szCs w:val="24"/>
                <w:lang w:val="en-US" w:eastAsia="zh-CN"/>
              </w:rPr>
            </w:pPr>
            <w:r>
              <w:rPr>
                <w:rFonts w:hint="eastAsia" w:ascii="Times New Roman" w:hAnsi="Times New Roman" w:eastAsia="方正仿宋_GBK" w:cs="方正仿宋_GBK"/>
                <w:sz w:val="24"/>
                <w:szCs w:val="24"/>
                <w:lang w:val="en-US" w:eastAsia="zh-CN"/>
              </w:rPr>
              <w:t>10</w:t>
            </w:r>
          </w:p>
        </w:tc>
        <w:tc>
          <w:tcPr>
            <w:tcW w:w="1383" w:type="dxa"/>
            <w:tcBorders>
              <w:top w:val="single" w:color="auto" w:sz="4" w:space="0"/>
              <w:left w:val="single" w:color="auto" w:sz="4" w:space="0"/>
              <w:bottom w:val="single" w:color="auto" w:sz="4" w:space="0"/>
              <w:right w:val="single" w:color="auto" w:sz="4" w:space="0"/>
            </w:tcBorders>
            <w:vAlign w:val="center"/>
          </w:tcPr>
          <w:p w14:paraId="78EA031B">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olor w:val="auto"/>
                <w:sz w:val="24"/>
                <w:szCs w:val="24"/>
                <w:highlight w:val="none"/>
                <w:lang w:val="en-US" w:eastAsia="zh-CN"/>
              </w:rPr>
              <w:t>≤36个月</w:t>
            </w:r>
          </w:p>
        </w:tc>
      </w:tr>
      <w:tr w14:paraId="3F125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0" w:hRule="atLeast"/>
          <w:jc w:val="center"/>
        </w:trPr>
        <w:tc>
          <w:tcPr>
            <w:tcW w:w="1127" w:type="dxa"/>
            <w:tcBorders>
              <w:top w:val="single" w:color="auto" w:sz="4" w:space="0"/>
              <w:left w:val="single" w:color="auto" w:sz="4" w:space="0"/>
              <w:bottom w:val="single" w:color="auto" w:sz="4" w:space="0"/>
              <w:right w:val="single" w:color="auto" w:sz="4" w:space="0"/>
            </w:tcBorders>
            <w:vAlign w:val="center"/>
          </w:tcPr>
          <w:p w14:paraId="69D21A61">
            <w:pPr>
              <w:widowControl/>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kern w:val="0"/>
                <w:sz w:val="24"/>
                <w:szCs w:val="24"/>
                <w:lang w:val="en-US" w:eastAsia="zh-CN"/>
              </w:rPr>
              <w:t>3-16</w:t>
            </w:r>
          </w:p>
        </w:tc>
        <w:tc>
          <w:tcPr>
            <w:tcW w:w="1287" w:type="dxa"/>
            <w:tcBorders>
              <w:top w:val="single" w:color="auto" w:sz="4" w:space="0"/>
              <w:left w:val="single" w:color="auto" w:sz="4" w:space="0"/>
              <w:bottom w:val="single" w:color="auto" w:sz="4" w:space="0"/>
              <w:right w:val="single" w:color="auto" w:sz="4" w:space="0"/>
            </w:tcBorders>
            <w:vAlign w:val="center"/>
          </w:tcPr>
          <w:p w14:paraId="75D8350E">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sz w:val="24"/>
                <w:szCs w:val="24"/>
                <w:lang w:val="en-US" w:eastAsia="zh-CN"/>
              </w:rPr>
              <w:t>面上</w:t>
            </w:r>
            <w:r>
              <w:rPr>
                <w:rFonts w:hint="eastAsia" w:ascii="Times New Roman" w:hAnsi="Times New Roman" w:eastAsia="方正仿宋_GBK" w:cs="方正仿宋_GBK"/>
                <w:sz w:val="24"/>
                <w:szCs w:val="24"/>
              </w:rPr>
              <w:t>项目</w:t>
            </w:r>
          </w:p>
        </w:tc>
        <w:tc>
          <w:tcPr>
            <w:tcW w:w="2123" w:type="dxa"/>
            <w:tcBorders>
              <w:top w:val="single" w:color="auto" w:sz="4" w:space="0"/>
              <w:left w:val="single" w:color="auto" w:sz="4" w:space="0"/>
              <w:bottom w:val="single" w:color="auto" w:sz="4" w:space="0"/>
              <w:right w:val="single" w:color="auto" w:sz="4" w:space="0"/>
            </w:tcBorders>
            <w:vAlign w:val="center"/>
          </w:tcPr>
          <w:p w14:paraId="42A0037E">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有机磷致神经/外周器官病变的非编码RNA调控网络解析及中毒风险的预警模型研究</w:t>
            </w:r>
          </w:p>
        </w:tc>
        <w:tc>
          <w:tcPr>
            <w:tcW w:w="6404" w:type="dxa"/>
            <w:tcBorders>
              <w:top w:val="single" w:color="auto" w:sz="4" w:space="0"/>
              <w:left w:val="single" w:color="auto" w:sz="4" w:space="0"/>
              <w:bottom w:val="single" w:color="auto" w:sz="4" w:space="0"/>
              <w:right w:val="single" w:color="auto" w:sz="4" w:space="0"/>
            </w:tcBorders>
            <w:vAlign w:val="center"/>
          </w:tcPr>
          <w:p w14:paraId="033D8DA0">
            <w:pPr>
              <w:widowControl/>
              <w:spacing w:line="0" w:lineRule="atLeast"/>
              <w:jc w:val="both"/>
              <w:rPr>
                <w:rFonts w:hint="eastAsia" w:ascii="方正仿宋_GBK" w:hAnsi="方正仿宋_GBK" w:eastAsia="方正仿宋_GBK" w:cs="方正仿宋_GBK"/>
                <w:sz w:val="24"/>
                <w:szCs w:val="24"/>
              </w:rPr>
            </w:pPr>
          </w:p>
        </w:tc>
        <w:tc>
          <w:tcPr>
            <w:tcW w:w="1373" w:type="dxa"/>
            <w:tcBorders>
              <w:top w:val="single" w:color="auto" w:sz="4" w:space="0"/>
              <w:left w:val="single" w:color="auto" w:sz="4" w:space="0"/>
              <w:bottom w:val="single" w:color="auto" w:sz="4" w:space="0"/>
              <w:right w:val="single" w:color="auto" w:sz="4" w:space="0"/>
            </w:tcBorders>
            <w:vAlign w:val="center"/>
          </w:tcPr>
          <w:p w14:paraId="206E4DA2">
            <w:pPr>
              <w:spacing w:line="0" w:lineRule="atLeast"/>
              <w:jc w:val="center"/>
              <w:rPr>
                <w:rFonts w:hint="eastAsia" w:ascii="Times New Roman" w:hAnsi="Times New Roman" w:eastAsia="方正仿宋_GBK" w:cs="Times New Roman"/>
                <w:sz w:val="24"/>
                <w:szCs w:val="24"/>
                <w:lang w:val="en-US" w:eastAsia="zh-CN"/>
              </w:rPr>
            </w:pPr>
            <w:r>
              <w:rPr>
                <w:rFonts w:hint="eastAsia" w:ascii="Times New Roman" w:hAnsi="Times New Roman" w:eastAsia="方正仿宋_GBK" w:cs="方正仿宋_GBK"/>
                <w:sz w:val="24"/>
                <w:szCs w:val="24"/>
                <w:lang w:val="en-US" w:eastAsia="zh-CN"/>
              </w:rPr>
              <w:t>10</w:t>
            </w:r>
          </w:p>
        </w:tc>
        <w:tc>
          <w:tcPr>
            <w:tcW w:w="1383" w:type="dxa"/>
            <w:tcBorders>
              <w:top w:val="single" w:color="auto" w:sz="4" w:space="0"/>
              <w:left w:val="single" w:color="auto" w:sz="4" w:space="0"/>
              <w:bottom w:val="single" w:color="auto" w:sz="4" w:space="0"/>
              <w:right w:val="single" w:color="auto" w:sz="4" w:space="0"/>
            </w:tcBorders>
            <w:vAlign w:val="center"/>
          </w:tcPr>
          <w:p w14:paraId="2D2E472B">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olor w:val="auto"/>
                <w:sz w:val="24"/>
                <w:szCs w:val="24"/>
                <w:highlight w:val="none"/>
                <w:lang w:val="en-US" w:eastAsia="zh-CN"/>
              </w:rPr>
              <w:t>≤36个月</w:t>
            </w:r>
          </w:p>
        </w:tc>
      </w:tr>
      <w:tr w14:paraId="64E67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3" w:hRule="atLeast"/>
          <w:jc w:val="center"/>
        </w:trPr>
        <w:tc>
          <w:tcPr>
            <w:tcW w:w="1127" w:type="dxa"/>
            <w:tcBorders>
              <w:top w:val="single" w:color="auto" w:sz="4" w:space="0"/>
              <w:left w:val="single" w:color="auto" w:sz="4" w:space="0"/>
              <w:bottom w:val="single" w:color="auto" w:sz="4" w:space="0"/>
              <w:right w:val="single" w:color="auto" w:sz="4" w:space="0"/>
            </w:tcBorders>
            <w:vAlign w:val="center"/>
          </w:tcPr>
          <w:p w14:paraId="20201AFA">
            <w:pPr>
              <w:widowControl/>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kern w:val="0"/>
                <w:sz w:val="24"/>
                <w:szCs w:val="24"/>
                <w:lang w:val="en-US" w:eastAsia="zh-CN"/>
              </w:rPr>
              <w:t>3-17</w:t>
            </w:r>
          </w:p>
        </w:tc>
        <w:tc>
          <w:tcPr>
            <w:tcW w:w="1287" w:type="dxa"/>
            <w:tcBorders>
              <w:top w:val="single" w:color="auto" w:sz="4" w:space="0"/>
              <w:left w:val="single" w:color="auto" w:sz="4" w:space="0"/>
              <w:bottom w:val="single" w:color="auto" w:sz="4" w:space="0"/>
              <w:right w:val="single" w:color="auto" w:sz="4" w:space="0"/>
            </w:tcBorders>
            <w:vAlign w:val="center"/>
          </w:tcPr>
          <w:p w14:paraId="2FCE5EAE">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sz w:val="24"/>
                <w:szCs w:val="24"/>
                <w:lang w:val="en-US" w:eastAsia="zh-CN"/>
              </w:rPr>
              <w:t>面上</w:t>
            </w:r>
            <w:r>
              <w:rPr>
                <w:rFonts w:hint="eastAsia" w:ascii="Times New Roman" w:hAnsi="Times New Roman" w:eastAsia="方正仿宋_GBK" w:cs="方正仿宋_GBK"/>
                <w:sz w:val="24"/>
                <w:szCs w:val="24"/>
              </w:rPr>
              <w:t>项目</w:t>
            </w:r>
          </w:p>
        </w:tc>
        <w:tc>
          <w:tcPr>
            <w:tcW w:w="2123" w:type="dxa"/>
            <w:tcBorders>
              <w:top w:val="single" w:color="auto" w:sz="4" w:space="0"/>
              <w:left w:val="single" w:color="auto" w:sz="4" w:space="0"/>
              <w:bottom w:val="single" w:color="auto" w:sz="4" w:space="0"/>
              <w:right w:val="single" w:color="auto" w:sz="4" w:space="0"/>
            </w:tcBorders>
            <w:vAlign w:val="center"/>
          </w:tcPr>
          <w:p w14:paraId="61A3DD02">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去势抵抗性前列腺癌核受体信号异常活化机制研究</w:t>
            </w:r>
          </w:p>
        </w:tc>
        <w:tc>
          <w:tcPr>
            <w:tcW w:w="6404" w:type="dxa"/>
            <w:tcBorders>
              <w:top w:val="single" w:color="auto" w:sz="4" w:space="0"/>
              <w:left w:val="single" w:color="auto" w:sz="4" w:space="0"/>
              <w:bottom w:val="single" w:color="auto" w:sz="4" w:space="0"/>
              <w:right w:val="single" w:color="auto" w:sz="4" w:space="0"/>
            </w:tcBorders>
            <w:vAlign w:val="center"/>
          </w:tcPr>
          <w:p w14:paraId="32B6E5D8">
            <w:pPr>
              <w:widowControl/>
              <w:spacing w:line="0" w:lineRule="atLeast"/>
              <w:jc w:val="both"/>
              <w:rPr>
                <w:rFonts w:hint="eastAsia" w:ascii="方正仿宋_GBK" w:hAnsi="方正仿宋_GBK" w:eastAsia="方正仿宋_GBK" w:cs="方正仿宋_GBK"/>
                <w:sz w:val="24"/>
                <w:szCs w:val="24"/>
              </w:rPr>
            </w:pPr>
          </w:p>
        </w:tc>
        <w:tc>
          <w:tcPr>
            <w:tcW w:w="1373" w:type="dxa"/>
            <w:tcBorders>
              <w:top w:val="single" w:color="auto" w:sz="4" w:space="0"/>
              <w:left w:val="single" w:color="auto" w:sz="4" w:space="0"/>
              <w:bottom w:val="single" w:color="auto" w:sz="4" w:space="0"/>
              <w:right w:val="single" w:color="auto" w:sz="4" w:space="0"/>
            </w:tcBorders>
            <w:vAlign w:val="center"/>
          </w:tcPr>
          <w:p w14:paraId="1AA9559D">
            <w:pPr>
              <w:spacing w:line="0" w:lineRule="atLeast"/>
              <w:jc w:val="center"/>
              <w:rPr>
                <w:rFonts w:hint="eastAsia" w:ascii="Times New Roman" w:hAnsi="Times New Roman" w:eastAsia="方正仿宋_GBK" w:cs="Times New Roman"/>
                <w:sz w:val="24"/>
                <w:szCs w:val="24"/>
                <w:lang w:val="en-US" w:eastAsia="zh-CN"/>
              </w:rPr>
            </w:pPr>
            <w:r>
              <w:rPr>
                <w:rFonts w:hint="eastAsia" w:ascii="Times New Roman" w:hAnsi="Times New Roman" w:eastAsia="方正仿宋_GBK" w:cs="方正仿宋_GBK"/>
                <w:sz w:val="24"/>
                <w:szCs w:val="24"/>
                <w:lang w:val="en-US" w:eastAsia="zh-CN"/>
              </w:rPr>
              <w:t>10</w:t>
            </w:r>
          </w:p>
        </w:tc>
        <w:tc>
          <w:tcPr>
            <w:tcW w:w="1383" w:type="dxa"/>
            <w:tcBorders>
              <w:top w:val="single" w:color="auto" w:sz="4" w:space="0"/>
              <w:left w:val="single" w:color="auto" w:sz="4" w:space="0"/>
              <w:bottom w:val="single" w:color="auto" w:sz="4" w:space="0"/>
              <w:right w:val="single" w:color="auto" w:sz="4" w:space="0"/>
            </w:tcBorders>
            <w:vAlign w:val="center"/>
          </w:tcPr>
          <w:p w14:paraId="6BED9D84">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olor w:val="auto"/>
                <w:sz w:val="24"/>
                <w:szCs w:val="24"/>
                <w:highlight w:val="none"/>
                <w:lang w:val="en-US" w:eastAsia="zh-CN"/>
              </w:rPr>
              <w:t>≤36个月</w:t>
            </w:r>
          </w:p>
        </w:tc>
      </w:tr>
      <w:tr w14:paraId="1E9D3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5" w:hRule="atLeast"/>
          <w:jc w:val="center"/>
        </w:trPr>
        <w:tc>
          <w:tcPr>
            <w:tcW w:w="1127" w:type="dxa"/>
            <w:tcBorders>
              <w:top w:val="single" w:color="auto" w:sz="4" w:space="0"/>
              <w:left w:val="single" w:color="auto" w:sz="4" w:space="0"/>
              <w:bottom w:val="single" w:color="auto" w:sz="4" w:space="0"/>
              <w:right w:val="single" w:color="auto" w:sz="4" w:space="0"/>
            </w:tcBorders>
            <w:vAlign w:val="center"/>
          </w:tcPr>
          <w:p w14:paraId="7AD596A2">
            <w:pPr>
              <w:widowControl/>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kern w:val="0"/>
                <w:sz w:val="24"/>
                <w:szCs w:val="24"/>
                <w:lang w:val="en-US" w:eastAsia="zh-CN"/>
              </w:rPr>
              <w:t>3-18</w:t>
            </w:r>
          </w:p>
        </w:tc>
        <w:tc>
          <w:tcPr>
            <w:tcW w:w="1287" w:type="dxa"/>
            <w:tcBorders>
              <w:top w:val="single" w:color="auto" w:sz="4" w:space="0"/>
              <w:left w:val="single" w:color="auto" w:sz="4" w:space="0"/>
              <w:bottom w:val="single" w:color="auto" w:sz="4" w:space="0"/>
              <w:right w:val="single" w:color="auto" w:sz="4" w:space="0"/>
            </w:tcBorders>
            <w:vAlign w:val="center"/>
          </w:tcPr>
          <w:p w14:paraId="53DAC1A4">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sz w:val="24"/>
                <w:szCs w:val="24"/>
                <w:lang w:val="en-US" w:eastAsia="zh-CN"/>
              </w:rPr>
              <w:t>面上</w:t>
            </w:r>
            <w:r>
              <w:rPr>
                <w:rFonts w:hint="eastAsia" w:ascii="Times New Roman" w:hAnsi="Times New Roman" w:eastAsia="方正仿宋_GBK" w:cs="方正仿宋_GBK"/>
                <w:sz w:val="24"/>
                <w:szCs w:val="24"/>
              </w:rPr>
              <w:t>项目</w:t>
            </w:r>
          </w:p>
        </w:tc>
        <w:tc>
          <w:tcPr>
            <w:tcW w:w="2123" w:type="dxa"/>
            <w:tcBorders>
              <w:top w:val="single" w:color="auto" w:sz="4" w:space="0"/>
              <w:left w:val="single" w:color="auto" w:sz="4" w:space="0"/>
              <w:bottom w:val="single" w:color="auto" w:sz="4" w:space="0"/>
              <w:right w:val="single" w:color="auto" w:sz="4" w:space="0"/>
            </w:tcBorders>
            <w:vAlign w:val="center"/>
          </w:tcPr>
          <w:p w14:paraId="73730D73">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代谢重编程调控碘转运在甲状腺癌放射性碘治疗抵抗中的作用机制研究</w:t>
            </w:r>
          </w:p>
        </w:tc>
        <w:tc>
          <w:tcPr>
            <w:tcW w:w="6404" w:type="dxa"/>
            <w:tcBorders>
              <w:top w:val="single" w:color="auto" w:sz="4" w:space="0"/>
              <w:left w:val="single" w:color="auto" w:sz="4" w:space="0"/>
              <w:bottom w:val="single" w:color="auto" w:sz="4" w:space="0"/>
              <w:right w:val="single" w:color="auto" w:sz="4" w:space="0"/>
            </w:tcBorders>
            <w:vAlign w:val="center"/>
          </w:tcPr>
          <w:p w14:paraId="3F37217D">
            <w:pPr>
              <w:widowControl/>
              <w:spacing w:line="0" w:lineRule="atLeast"/>
              <w:jc w:val="both"/>
              <w:rPr>
                <w:rFonts w:hint="eastAsia" w:ascii="方正仿宋_GBK" w:hAnsi="方正仿宋_GBK" w:eastAsia="方正仿宋_GBK" w:cs="方正仿宋_GBK"/>
                <w:sz w:val="24"/>
                <w:szCs w:val="24"/>
              </w:rPr>
            </w:pPr>
          </w:p>
        </w:tc>
        <w:tc>
          <w:tcPr>
            <w:tcW w:w="1373" w:type="dxa"/>
            <w:tcBorders>
              <w:top w:val="single" w:color="auto" w:sz="4" w:space="0"/>
              <w:left w:val="single" w:color="auto" w:sz="4" w:space="0"/>
              <w:bottom w:val="single" w:color="auto" w:sz="4" w:space="0"/>
              <w:right w:val="single" w:color="auto" w:sz="4" w:space="0"/>
            </w:tcBorders>
            <w:vAlign w:val="center"/>
          </w:tcPr>
          <w:p w14:paraId="3D68DAAF">
            <w:pPr>
              <w:spacing w:line="0" w:lineRule="atLeast"/>
              <w:jc w:val="center"/>
              <w:rPr>
                <w:rFonts w:hint="eastAsia" w:ascii="Times New Roman" w:hAnsi="Times New Roman" w:eastAsia="方正仿宋_GBK" w:cs="Times New Roman"/>
                <w:sz w:val="24"/>
                <w:szCs w:val="24"/>
                <w:lang w:val="en-US" w:eastAsia="zh-CN"/>
              </w:rPr>
            </w:pPr>
            <w:r>
              <w:rPr>
                <w:rFonts w:hint="eastAsia" w:ascii="Times New Roman" w:hAnsi="Times New Roman" w:eastAsia="方正仿宋_GBK" w:cs="方正仿宋_GBK"/>
                <w:sz w:val="24"/>
                <w:szCs w:val="24"/>
                <w:lang w:val="en-US" w:eastAsia="zh-CN"/>
              </w:rPr>
              <w:t>10</w:t>
            </w:r>
          </w:p>
        </w:tc>
        <w:tc>
          <w:tcPr>
            <w:tcW w:w="1383" w:type="dxa"/>
            <w:tcBorders>
              <w:top w:val="single" w:color="auto" w:sz="4" w:space="0"/>
              <w:left w:val="single" w:color="auto" w:sz="4" w:space="0"/>
              <w:bottom w:val="single" w:color="auto" w:sz="4" w:space="0"/>
              <w:right w:val="single" w:color="auto" w:sz="4" w:space="0"/>
            </w:tcBorders>
            <w:vAlign w:val="center"/>
          </w:tcPr>
          <w:p w14:paraId="67B455C4">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olor w:val="auto"/>
                <w:sz w:val="24"/>
                <w:szCs w:val="24"/>
                <w:highlight w:val="none"/>
                <w:lang w:val="en-US" w:eastAsia="zh-CN"/>
              </w:rPr>
              <w:t>≤36个月</w:t>
            </w:r>
          </w:p>
        </w:tc>
      </w:tr>
      <w:tr w14:paraId="7428E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9" w:hRule="atLeast"/>
          <w:jc w:val="center"/>
        </w:trPr>
        <w:tc>
          <w:tcPr>
            <w:tcW w:w="1127" w:type="dxa"/>
            <w:tcBorders>
              <w:top w:val="single" w:color="auto" w:sz="4" w:space="0"/>
              <w:left w:val="single" w:color="auto" w:sz="4" w:space="0"/>
              <w:bottom w:val="single" w:color="auto" w:sz="4" w:space="0"/>
              <w:right w:val="single" w:color="auto" w:sz="4" w:space="0"/>
            </w:tcBorders>
            <w:vAlign w:val="center"/>
          </w:tcPr>
          <w:p w14:paraId="2359DF57">
            <w:pPr>
              <w:widowControl/>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kern w:val="0"/>
                <w:sz w:val="24"/>
                <w:szCs w:val="24"/>
                <w:lang w:val="en-US" w:eastAsia="zh-CN"/>
              </w:rPr>
              <w:t>3-19</w:t>
            </w:r>
          </w:p>
        </w:tc>
        <w:tc>
          <w:tcPr>
            <w:tcW w:w="1287" w:type="dxa"/>
            <w:tcBorders>
              <w:top w:val="single" w:color="auto" w:sz="4" w:space="0"/>
              <w:left w:val="single" w:color="auto" w:sz="4" w:space="0"/>
              <w:bottom w:val="single" w:color="auto" w:sz="4" w:space="0"/>
              <w:right w:val="single" w:color="auto" w:sz="4" w:space="0"/>
            </w:tcBorders>
            <w:vAlign w:val="center"/>
          </w:tcPr>
          <w:p w14:paraId="367FCAF7">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sz w:val="24"/>
                <w:szCs w:val="24"/>
                <w:lang w:val="en-US" w:eastAsia="zh-CN"/>
              </w:rPr>
              <w:t>面上</w:t>
            </w:r>
            <w:r>
              <w:rPr>
                <w:rFonts w:hint="eastAsia" w:ascii="Times New Roman" w:hAnsi="Times New Roman" w:eastAsia="方正仿宋_GBK" w:cs="方正仿宋_GBK"/>
                <w:sz w:val="24"/>
                <w:szCs w:val="24"/>
              </w:rPr>
              <w:t>项目</w:t>
            </w:r>
          </w:p>
        </w:tc>
        <w:tc>
          <w:tcPr>
            <w:tcW w:w="2123" w:type="dxa"/>
            <w:tcBorders>
              <w:top w:val="single" w:color="auto" w:sz="4" w:space="0"/>
              <w:left w:val="single" w:color="auto" w:sz="4" w:space="0"/>
              <w:bottom w:val="single" w:color="auto" w:sz="4" w:space="0"/>
              <w:right w:val="single" w:color="auto" w:sz="4" w:space="0"/>
            </w:tcBorders>
            <w:vAlign w:val="center"/>
          </w:tcPr>
          <w:p w14:paraId="6ED2C9DA">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RPL22异常相关去帽调控重塑B2M/MHC-I抗原呈递活性驱动结直肠癌免疫低反应的机制及分层研究</w:t>
            </w:r>
          </w:p>
        </w:tc>
        <w:tc>
          <w:tcPr>
            <w:tcW w:w="6404" w:type="dxa"/>
            <w:tcBorders>
              <w:top w:val="single" w:color="auto" w:sz="4" w:space="0"/>
              <w:left w:val="single" w:color="auto" w:sz="4" w:space="0"/>
              <w:bottom w:val="single" w:color="auto" w:sz="4" w:space="0"/>
              <w:right w:val="single" w:color="auto" w:sz="4" w:space="0"/>
            </w:tcBorders>
            <w:vAlign w:val="center"/>
          </w:tcPr>
          <w:p w14:paraId="3B28B79C">
            <w:pPr>
              <w:widowControl/>
              <w:spacing w:line="0" w:lineRule="atLeast"/>
              <w:jc w:val="both"/>
              <w:rPr>
                <w:rFonts w:hint="eastAsia" w:ascii="方正仿宋_GBK" w:hAnsi="方正仿宋_GBK" w:eastAsia="方正仿宋_GBK" w:cs="方正仿宋_GBK"/>
                <w:sz w:val="24"/>
                <w:szCs w:val="24"/>
              </w:rPr>
            </w:pPr>
          </w:p>
        </w:tc>
        <w:tc>
          <w:tcPr>
            <w:tcW w:w="1373" w:type="dxa"/>
            <w:tcBorders>
              <w:top w:val="single" w:color="auto" w:sz="4" w:space="0"/>
              <w:left w:val="single" w:color="auto" w:sz="4" w:space="0"/>
              <w:bottom w:val="single" w:color="auto" w:sz="4" w:space="0"/>
              <w:right w:val="single" w:color="auto" w:sz="4" w:space="0"/>
            </w:tcBorders>
            <w:vAlign w:val="center"/>
          </w:tcPr>
          <w:p w14:paraId="4C62EAC0">
            <w:pPr>
              <w:spacing w:line="0" w:lineRule="atLeast"/>
              <w:jc w:val="center"/>
              <w:rPr>
                <w:rFonts w:hint="eastAsia" w:ascii="Times New Roman" w:hAnsi="Times New Roman" w:eastAsia="方正仿宋_GBK" w:cs="Times New Roman"/>
                <w:sz w:val="24"/>
                <w:szCs w:val="24"/>
                <w:lang w:val="en-US" w:eastAsia="zh-CN"/>
              </w:rPr>
            </w:pPr>
            <w:r>
              <w:rPr>
                <w:rFonts w:hint="eastAsia" w:ascii="Times New Roman" w:hAnsi="Times New Roman" w:eastAsia="方正仿宋_GBK" w:cs="方正仿宋_GBK"/>
                <w:sz w:val="24"/>
                <w:szCs w:val="24"/>
                <w:lang w:val="en-US" w:eastAsia="zh-CN"/>
              </w:rPr>
              <w:t>10</w:t>
            </w:r>
          </w:p>
        </w:tc>
        <w:tc>
          <w:tcPr>
            <w:tcW w:w="1383" w:type="dxa"/>
            <w:tcBorders>
              <w:top w:val="single" w:color="auto" w:sz="4" w:space="0"/>
              <w:left w:val="single" w:color="auto" w:sz="4" w:space="0"/>
              <w:bottom w:val="single" w:color="auto" w:sz="4" w:space="0"/>
              <w:right w:val="single" w:color="auto" w:sz="4" w:space="0"/>
            </w:tcBorders>
            <w:vAlign w:val="center"/>
          </w:tcPr>
          <w:p w14:paraId="645052D3">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olor w:val="auto"/>
                <w:sz w:val="24"/>
                <w:szCs w:val="24"/>
                <w:highlight w:val="none"/>
                <w:lang w:val="en-US" w:eastAsia="zh-CN"/>
              </w:rPr>
              <w:t>≤36个月</w:t>
            </w:r>
          </w:p>
        </w:tc>
      </w:tr>
      <w:tr w14:paraId="0ECF2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127" w:type="dxa"/>
            <w:tcBorders>
              <w:top w:val="single" w:color="auto" w:sz="4" w:space="0"/>
              <w:left w:val="single" w:color="auto" w:sz="4" w:space="0"/>
              <w:bottom w:val="single" w:color="auto" w:sz="4" w:space="0"/>
              <w:right w:val="single" w:color="auto" w:sz="4" w:space="0"/>
            </w:tcBorders>
            <w:vAlign w:val="center"/>
          </w:tcPr>
          <w:p w14:paraId="286BB271">
            <w:pPr>
              <w:widowControl/>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kern w:val="0"/>
                <w:sz w:val="24"/>
                <w:szCs w:val="24"/>
                <w:lang w:val="en-US" w:eastAsia="zh-CN"/>
              </w:rPr>
              <w:t>3-20</w:t>
            </w:r>
          </w:p>
        </w:tc>
        <w:tc>
          <w:tcPr>
            <w:tcW w:w="1287" w:type="dxa"/>
            <w:tcBorders>
              <w:top w:val="single" w:color="auto" w:sz="4" w:space="0"/>
              <w:left w:val="single" w:color="auto" w:sz="4" w:space="0"/>
              <w:bottom w:val="single" w:color="auto" w:sz="4" w:space="0"/>
              <w:right w:val="single" w:color="auto" w:sz="4" w:space="0"/>
            </w:tcBorders>
            <w:vAlign w:val="center"/>
          </w:tcPr>
          <w:p w14:paraId="7CFAAF80">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sz w:val="24"/>
                <w:szCs w:val="24"/>
                <w:lang w:val="en-US" w:eastAsia="zh-CN"/>
              </w:rPr>
              <w:t>面上</w:t>
            </w:r>
            <w:r>
              <w:rPr>
                <w:rFonts w:hint="eastAsia" w:ascii="Times New Roman" w:hAnsi="Times New Roman" w:eastAsia="方正仿宋_GBK" w:cs="方正仿宋_GBK"/>
                <w:sz w:val="24"/>
                <w:szCs w:val="24"/>
              </w:rPr>
              <w:t>项目</w:t>
            </w:r>
          </w:p>
        </w:tc>
        <w:tc>
          <w:tcPr>
            <w:tcW w:w="2123" w:type="dxa"/>
            <w:tcBorders>
              <w:top w:val="single" w:color="auto" w:sz="4" w:space="0"/>
              <w:left w:val="single" w:color="auto" w:sz="4" w:space="0"/>
              <w:bottom w:val="single" w:color="auto" w:sz="4" w:space="0"/>
              <w:right w:val="single" w:color="auto" w:sz="4" w:space="0"/>
            </w:tcBorders>
            <w:vAlign w:val="center"/>
          </w:tcPr>
          <w:p w14:paraId="1C0F184B">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儿童胚胎性恶性肿瘤超声显微造影诊断体系及声动力治疗机制研究</w:t>
            </w:r>
          </w:p>
        </w:tc>
        <w:tc>
          <w:tcPr>
            <w:tcW w:w="6404" w:type="dxa"/>
            <w:tcBorders>
              <w:top w:val="single" w:color="auto" w:sz="4" w:space="0"/>
              <w:left w:val="single" w:color="auto" w:sz="4" w:space="0"/>
              <w:bottom w:val="single" w:color="auto" w:sz="4" w:space="0"/>
              <w:right w:val="single" w:color="auto" w:sz="4" w:space="0"/>
            </w:tcBorders>
            <w:vAlign w:val="center"/>
          </w:tcPr>
          <w:p w14:paraId="0085F3FE">
            <w:pPr>
              <w:widowControl/>
              <w:spacing w:line="0" w:lineRule="atLeast"/>
              <w:jc w:val="both"/>
              <w:rPr>
                <w:rFonts w:hint="eastAsia" w:ascii="方正仿宋_GBK" w:hAnsi="方正仿宋_GBK" w:eastAsia="方正仿宋_GBK" w:cs="方正仿宋_GBK"/>
                <w:sz w:val="24"/>
                <w:szCs w:val="24"/>
              </w:rPr>
            </w:pPr>
          </w:p>
        </w:tc>
        <w:tc>
          <w:tcPr>
            <w:tcW w:w="1373" w:type="dxa"/>
            <w:tcBorders>
              <w:top w:val="single" w:color="auto" w:sz="4" w:space="0"/>
              <w:left w:val="single" w:color="auto" w:sz="4" w:space="0"/>
              <w:bottom w:val="single" w:color="auto" w:sz="4" w:space="0"/>
              <w:right w:val="single" w:color="auto" w:sz="4" w:space="0"/>
            </w:tcBorders>
            <w:vAlign w:val="center"/>
          </w:tcPr>
          <w:p w14:paraId="39AC4756">
            <w:pPr>
              <w:spacing w:line="0" w:lineRule="atLeast"/>
              <w:jc w:val="center"/>
              <w:rPr>
                <w:rFonts w:hint="eastAsia" w:ascii="Times New Roman" w:hAnsi="Times New Roman" w:eastAsia="方正仿宋_GBK" w:cs="Times New Roman"/>
                <w:sz w:val="24"/>
                <w:szCs w:val="24"/>
                <w:lang w:val="en-US" w:eastAsia="zh-CN"/>
              </w:rPr>
            </w:pPr>
            <w:r>
              <w:rPr>
                <w:rFonts w:hint="eastAsia" w:ascii="Times New Roman" w:hAnsi="Times New Roman" w:eastAsia="方正仿宋_GBK" w:cs="方正仿宋_GBK"/>
                <w:sz w:val="24"/>
                <w:szCs w:val="24"/>
                <w:lang w:val="en-US" w:eastAsia="zh-CN"/>
              </w:rPr>
              <w:t>10</w:t>
            </w:r>
          </w:p>
        </w:tc>
        <w:tc>
          <w:tcPr>
            <w:tcW w:w="1383" w:type="dxa"/>
            <w:tcBorders>
              <w:top w:val="single" w:color="auto" w:sz="4" w:space="0"/>
              <w:left w:val="single" w:color="auto" w:sz="4" w:space="0"/>
              <w:bottom w:val="single" w:color="auto" w:sz="4" w:space="0"/>
              <w:right w:val="single" w:color="auto" w:sz="4" w:space="0"/>
            </w:tcBorders>
            <w:vAlign w:val="center"/>
          </w:tcPr>
          <w:p w14:paraId="054D60C1">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olor w:val="auto"/>
                <w:sz w:val="24"/>
                <w:szCs w:val="24"/>
                <w:highlight w:val="none"/>
                <w:lang w:val="en-US" w:eastAsia="zh-CN"/>
              </w:rPr>
              <w:t>≤36个月</w:t>
            </w:r>
          </w:p>
        </w:tc>
      </w:tr>
      <w:tr w14:paraId="74605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jc w:val="center"/>
        </w:trPr>
        <w:tc>
          <w:tcPr>
            <w:tcW w:w="1127" w:type="dxa"/>
            <w:tcBorders>
              <w:top w:val="single" w:color="auto" w:sz="4" w:space="0"/>
              <w:left w:val="single" w:color="auto" w:sz="4" w:space="0"/>
              <w:bottom w:val="single" w:color="auto" w:sz="4" w:space="0"/>
              <w:right w:val="single" w:color="auto" w:sz="4" w:space="0"/>
            </w:tcBorders>
            <w:vAlign w:val="center"/>
          </w:tcPr>
          <w:p w14:paraId="4C277555">
            <w:pPr>
              <w:widowControl/>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kern w:val="0"/>
                <w:sz w:val="24"/>
                <w:szCs w:val="24"/>
                <w:lang w:val="en-US" w:eastAsia="zh-CN"/>
              </w:rPr>
              <w:t>3-21</w:t>
            </w:r>
          </w:p>
        </w:tc>
        <w:tc>
          <w:tcPr>
            <w:tcW w:w="1287" w:type="dxa"/>
            <w:tcBorders>
              <w:top w:val="single" w:color="auto" w:sz="4" w:space="0"/>
              <w:left w:val="single" w:color="auto" w:sz="4" w:space="0"/>
              <w:bottom w:val="single" w:color="auto" w:sz="4" w:space="0"/>
              <w:right w:val="single" w:color="auto" w:sz="4" w:space="0"/>
            </w:tcBorders>
            <w:vAlign w:val="center"/>
          </w:tcPr>
          <w:p w14:paraId="2778CF9E">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sz w:val="24"/>
                <w:szCs w:val="24"/>
                <w:lang w:val="en-US" w:eastAsia="zh-CN"/>
              </w:rPr>
              <w:t>面上</w:t>
            </w:r>
            <w:r>
              <w:rPr>
                <w:rFonts w:hint="eastAsia" w:ascii="Times New Roman" w:hAnsi="Times New Roman" w:eastAsia="方正仿宋_GBK" w:cs="方正仿宋_GBK"/>
                <w:sz w:val="24"/>
                <w:szCs w:val="24"/>
              </w:rPr>
              <w:t>项目</w:t>
            </w:r>
          </w:p>
        </w:tc>
        <w:tc>
          <w:tcPr>
            <w:tcW w:w="2123" w:type="dxa"/>
            <w:tcBorders>
              <w:top w:val="single" w:color="auto" w:sz="4" w:space="0"/>
              <w:left w:val="single" w:color="auto" w:sz="4" w:space="0"/>
              <w:bottom w:val="single" w:color="auto" w:sz="4" w:space="0"/>
              <w:right w:val="single" w:color="auto" w:sz="4" w:space="0"/>
            </w:tcBorders>
            <w:vAlign w:val="center"/>
          </w:tcPr>
          <w:p w14:paraId="7C53C59A">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低强度聚焦超声在创伤性脑损伤相关神经退行性病变调控中的作用机制研究</w:t>
            </w:r>
          </w:p>
        </w:tc>
        <w:tc>
          <w:tcPr>
            <w:tcW w:w="6404" w:type="dxa"/>
            <w:tcBorders>
              <w:top w:val="single" w:color="auto" w:sz="4" w:space="0"/>
              <w:left w:val="single" w:color="auto" w:sz="4" w:space="0"/>
              <w:bottom w:val="single" w:color="auto" w:sz="4" w:space="0"/>
              <w:right w:val="single" w:color="auto" w:sz="4" w:space="0"/>
            </w:tcBorders>
            <w:vAlign w:val="center"/>
          </w:tcPr>
          <w:p w14:paraId="3094A49A">
            <w:pPr>
              <w:widowControl/>
              <w:spacing w:line="0" w:lineRule="atLeast"/>
              <w:jc w:val="both"/>
              <w:rPr>
                <w:rFonts w:hint="eastAsia" w:ascii="方正仿宋_GBK" w:hAnsi="方正仿宋_GBK" w:eastAsia="方正仿宋_GBK" w:cs="方正仿宋_GBK"/>
                <w:sz w:val="24"/>
                <w:szCs w:val="24"/>
              </w:rPr>
            </w:pPr>
          </w:p>
        </w:tc>
        <w:tc>
          <w:tcPr>
            <w:tcW w:w="1373" w:type="dxa"/>
            <w:tcBorders>
              <w:top w:val="single" w:color="auto" w:sz="4" w:space="0"/>
              <w:left w:val="single" w:color="auto" w:sz="4" w:space="0"/>
              <w:bottom w:val="single" w:color="auto" w:sz="4" w:space="0"/>
              <w:right w:val="single" w:color="auto" w:sz="4" w:space="0"/>
            </w:tcBorders>
            <w:vAlign w:val="center"/>
          </w:tcPr>
          <w:p w14:paraId="63BCB8D3">
            <w:pPr>
              <w:spacing w:line="0" w:lineRule="atLeast"/>
              <w:jc w:val="center"/>
              <w:rPr>
                <w:rFonts w:hint="eastAsia" w:ascii="Times New Roman" w:hAnsi="Times New Roman" w:eastAsia="方正仿宋_GBK" w:cs="Times New Roman"/>
                <w:sz w:val="24"/>
                <w:szCs w:val="24"/>
                <w:lang w:val="en-US" w:eastAsia="zh-CN"/>
              </w:rPr>
            </w:pPr>
            <w:r>
              <w:rPr>
                <w:rFonts w:hint="eastAsia" w:ascii="Times New Roman" w:hAnsi="Times New Roman" w:eastAsia="方正仿宋_GBK" w:cs="方正仿宋_GBK"/>
                <w:sz w:val="24"/>
                <w:szCs w:val="24"/>
                <w:lang w:val="en-US" w:eastAsia="zh-CN"/>
              </w:rPr>
              <w:t>10</w:t>
            </w:r>
          </w:p>
        </w:tc>
        <w:tc>
          <w:tcPr>
            <w:tcW w:w="1383" w:type="dxa"/>
            <w:tcBorders>
              <w:top w:val="single" w:color="auto" w:sz="4" w:space="0"/>
              <w:left w:val="single" w:color="auto" w:sz="4" w:space="0"/>
              <w:bottom w:val="single" w:color="auto" w:sz="4" w:space="0"/>
              <w:right w:val="single" w:color="auto" w:sz="4" w:space="0"/>
            </w:tcBorders>
            <w:vAlign w:val="center"/>
          </w:tcPr>
          <w:p w14:paraId="4B14AD4B">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olor w:val="auto"/>
                <w:sz w:val="24"/>
                <w:szCs w:val="24"/>
                <w:highlight w:val="none"/>
                <w:lang w:val="en-US" w:eastAsia="zh-CN"/>
              </w:rPr>
              <w:t>≤36个月</w:t>
            </w:r>
          </w:p>
        </w:tc>
      </w:tr>
      <w:tr w14:paraId="38A1F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jc w:val="center"/>
        </w:trPr>
        <w:tc>
          <w:tcPr>
            <w:tcW w:w="1127" w:type="dxa"/>
            <w:tcBorders>
              <w:top w:val="single" w:color="auto" w:sz="4" w:space="0"/>
              <w:left w:val="single" w:color="auto" w:sz="4" w:space="0"/>
              <w:bottom w:val="single" w:color="auto" w:sz="4" w:space="0"/>
              <w:right w:val="single" w:color="auto" w:sz="4" w:space="0"/>
            </w:tcBorders>
            <w:vAlign w:val="center"/>
          </w:tcPr>
          <w:p w14:paraId="39E9F1AF">
            <w:pPr>
              <w:widowControl/>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kern w:val="0"/>
                <w:sz w:val="24"/>
                <w:szCs w:val="24"/>
                <w:lang w:val="en-US" w:eastAsia="zh-CN"/>
              </w:rPr>
              <w:t>3-22</w:t>
            </w:r>
          </w:p>
        </w:tc>
        <w:tc>
          <w:tcPr>
            <w:tcW w:w="1287" w:type="dxa"/>
            <w:tcBorders>
              <w:top w:val="single" w:color="auto" w:sz="4" w:space="0"/>
              <w:left w:val="single" w:color="auto" w:sz="4" w:space="0"/>
              <w:bottom w:val="single" w:color="auto" w:sz="4" w:space="0"/>
              <w:right w:val="single" w:color="auto" w:sz="4" w:space="0"/>
            </w:tcBorders>
            <w:vAlign w:val="center"/>
          </w:tcPr>
          <w:p w14:paraId="7FB4EF77">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sz w:val="24"/>
                <w:szCs w:val="24"/>
                <w:lang w:val="en-US" w:eastAsia="zh-CN"/>
              </w:rPr>
              <w:t>面上</w:t>
            </w:r>
            <w:r>
              <w:rPr>
                <w:rFonts w:hint="eastAsia" w:ascii="Times New Roman" w:hAnsi="Times New Roman" w:eastAsia="方正仿宋_GBK" w:cs="方正仿宋_GBK"/>
                <w:sz w:val="24"/>
                <w:szCs w:val="24"/>
              </w:rPr>
              <w:t>项目</w:t>
            </w:r>
          </w:p>
        </w:tc>
        <w:tc>
          <w:tcPr>
            <w:tcW w:w="2123" w:type="dxa"/>
            <w:tcBorders>
              <w:top w:val="single" w:color="auto" w:sz="4" w:space="0"/>
              <w:left w:val="single" w:color="auto" w:sz="4" w:space="0"/>
              <w:bottom w:val="single" w:color="auto" w:sz="4" w:space="0"/>
              <w:right w:val="single" w:color="auto" w:sz="4" w:space="0"/>
            </w:tcBorders>
            <w:vAlign w:val="center"/>
          </w:tcPr>
          <w:p w14:paraId="4CC8E835">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低强度超声联合微泡破坏肿瘤物理屏障促进胰腺癌免疫治疗研究</w:t>
            </w:r>
          </w:p>
        </w:tc>
        <w:tc>
          <w:tcPr>
            <w:tcW w:w="6404" w:type="dxa"/>
            <w:tcBorders>
              <w:top w:val="single" w:color="auto" w:sz="4" w:space="0"/>
              <w:left w:val="single" w:color="auto" w:sz="4" w:space="0"/>
              <w:bottom w:val="single" w:color="auto" w:sz="4" w:space="0"/>
              <w:right w:val="single" w:color="auto" w:sz="4" w:space="0"/>
            </w:tcBorders>
            <w:vAlign w:val="center"/>
          </w:tcPr>
          <w:p w14:paraId="4977FE90">
            <w:pPr>
              <w:widowControl/>
              <w:spacing w:line="0" w:lineRule="atLeast"/>
              <w:jc w:val="both"/>
              <w:rPr>
                <w:rFonts w:hint="eastAsia" w:ascii="方正仿宋_GBK" w:hAnsi="方正仿宋_GBK" w:eastAsia="方正仿宋_GBK" w:cs="方正仿宋_GBK"/>
                <w:sz w:val="24"/>
                <w:szCs w:val="24"/>
              </w:rPr>
            </w:pPr>
          </w:p>
        </w:tc>
        <w:tc>
          <w:tcPr>
            <w:tcW w:w="1373" w:type="dxa"/>
            <w:tcBorders>
              <w:top w:val="single" w:color="auto" w:sz="4" w:space="0"/>
              <w:left w:val="single" w:color="auto" w:sz="4" w:space="0"/>
              <w:bottom w:val="single" w:color="auto" w:sz="4" w:space="0"/>
              <w:right w:val="single" w:color="auto" w:sz="4" w:space="0"/>
            </w:tcBorders>
            <w:vAlign w:val="center"/>
          </w:tcPr>
          <w:p w14:paraId="0FD87795">
            <w:pPr>
              <w:spacing w:line="0" w:lineRule="atLeast"/>
              <w:jc w:val="center"/>
              <w:rPr>
                <w:rFonts w:hint="eastAsia" w:ascii="Times New Roman" w:hAnsi="Times New Roman" w:eastAsia="方正仿宋_GBK" w:cs="Times New Roman"/>
                <w:sz w:val="24"/>
                <w:szCs w:val="24"/>
                <w:lang w:val="en-US" w:eastAsia="zh-CN"/>
              </w:rPr>
            </w:pPr>
            <w:r>
              <w:rPr>
                <w:rFonts w:hint="eastAsia" w:ascii="Times New Roman" w:hAnsi="Times New Roman" w:eastAsia="方正仿宋_GBK" w:cs="方正仿宋_GBK"/>
                <w:sz w:val="24"/>
                <w:szCs w:val="24"/>
                <w:lang w:val="en-US" w:eastAsia="zh-CN"/>
              </w:rPr>
              <w:t>10</w:t>
            </w:r>
          </w:p>
        </w:tc>
        <w:tc>
          <w:tcPr>
            <w:tcW w:w="1383" w:type="dxa"/>
            <w:tcBorders>
              <w:top w:val="single" w:color="auto" w:sz="4" w:space="0"/>
              <w:left w:val="single" w:color="auto" w:sz="4" w:space="0"/>
              <w:bottom w:val="single" w:color="auto" w:sz="4" w:space="0"/>
              <w:right w:val="single" w:color="auto" w:sz="4" w:space="0"/>
            </w:tcBorders>
            <w:vAlign w:val="center"/>
          </w:tcPr>
          <w:p w14:paraId="4073F2DB">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olor w:val="auto"/>
                <w:sz w:val="24"/>
                <w:szCs w:val="24"/>
                <w:highlight w:val="none"/>
                <w:lang w:val="en-US" w:eastAsia="zh-CN"/>
              </w:rPr>
              <w:t>≤36个月</w:t>
            </w:r>
          </w:p>
        </w:tc>
      </w:tr>
      <w:tr w14:paraId="5C27A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jc w:val="center"/>
        </w:trPr>
        <w:tc>
          <w:tcPr>
            <w:tcW w:w="1127" w:type="dxa"/>
            <w:tcBorders>
              <w:top w:val="single" w:color="auto" w:sz="4" w:space="0"/>
              <w:left w:val="single" w:color="auto" w:sz="4" w:space="0"/>
              <w:bottom w:val="single" w:color="auto" w:sz="4" w:space="0"/>
              <w:right w:val="single" w:color="auto" w:sz="4" w:space="0"/>
            </w:tcBorders>
            <w:vAlign w:val="center"/>
          </w:tcPr>
          <w:p w14:paraId="31D23FC0">
            <w:pPr>
              <w:widowControl/>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kern w:val="0"/>
                <w:sz w:val="24"/>
                <w:szCs w:val="24"/>
                <w:lang w:val="en-US" w:eastAsia="zh-CN"/>
              </w:rPr>
              <w:t>3-23</w:t>
            </w:r>
          </w:p>
        </w:tc>
        <w:tc>
          <w:tcPr>
            <w:tcW w:w="1287" w:type="dxa"/>
            <w:tcBorders>
              <w:top w:val="single" w:color="auto" w:sz="4" w:space="0"/>
              <w:left w:val="single" w:color="auto" w:sz="4" w:space="0"/>
              <w:bottom w:val="single" w:color="auto" w:sz="4" w:space="0"/>
              <w:right w:val="single" w:color="auto" w:sz="4" w:space="0"/>
            </w:tcBorders>
            <w:vAlign w:val="center"/>
          </w:tcPr>
          <w:p w14:paraId="4BA9900E">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sz w:val="24"/>
                <w:szCs w:val="24"/>
                <w:lang w:val="en-US" w:eastAsia="zh-CN"/>
              </w:rPr>
              <w:t>面上</w:t>
            </w:r>
            <w:r>
              <w:rPr>
                <w:rFonts w:hint="eastAsia" w:ascii="Times New Roman" w:hAnsi="Times New Roman" w:eastAsia="方正仿宋_GBK" w:cs="方正仿宋_GBK"/>
                <w:sz w:val="24"/>
                <w:szCs w:val="24"/>
              </w:rPr>
              <w:t>项目</w:t>
            </w:r>
          </w:p>
        </w:tc>
        <w:tc>
          <w:tcPr>
            <w:tcW w:w="2123" w:type="dxa"/>
            <w:tcBorders>
              <w:top w:val="single" w:color="auto" w:sz="4" w:space="0"/>
              <w:left w:val="single" w:color="auto" w:sz="4" w:space="0"/>
              <w:bottom w:val="single" w:color="auto" w:sz="4" w:space="0"/>
              <w:right w:val="single" w:color="auto" w:sz="4" w:space="0"/>
            </w:tcBorders>
            <w:vAlign w:val="center"/>
          </w:tcPr>
          <w:p w14:paraId="6085BAF4">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基于中性粒细胞膜的超声响应性基因编辑微泡系统逆转糖尿病胰岛素抵抗研究</w:t>
            </w:r>
          </w:p>
        </w:tc>
        <w:tc>
          <w:tcPr>
            <w:tcW w:w="6404" w:type="dxa"/>
            <w:tcBorders>
              <w:top w:val="single" w:color="auto" w:sz="4" w:space="0"/>
              <w:left w:val="single" w:color="auto" w:sz="4" w:space="0"/>
              <w:bottom w:val="single" w:color="auto" w:sz="4" w:space="0"/>
              <w:right w:val="single" w:color="auto" w:sz="4" w:space="0"/>
            </w:tcBorders>
            <w:vAlign w:val="center"/>
          </w:tcPr>
          <w:p w14:paraId="2F76845E">
            <w:pPr>
              <w:widowControl/>
              <w:spacing w:line="0" w:lineRule="atLeast"/>
              <w:jc w:val="both"/>
              <w:rPr>
                <w:rFonts w:hint="eastAsia" w:ascii="方正仿宋_GBK" w:hAnsi="方正仿宋_GBK" w:eastAsia="方正仿宋_GBK" w:cs="方正仿宋_GBK"/>
                <w:sz w:val="24"/>
                <w:szCs w:val="24"/>
              </w:rPr>
            </w:pPr>
          </w:p>
        </w:tc>
        <w:tc>
          <w:tcPr>
            <w:tcW w:w="1373" w:type="dxa"/>
            <w:tcBorders>
              <w:top w:val="single" w:color="auto" w:sz="4" w:space="0"/>
              <w:left w:val="single" w:color="auto" w:sz="4" w:space="0"/>
              <w:bottom w:val="single" w:color="auto" w:sz="4" w:space="0"/>
              <w:right w:val="single" w:color="auto" w:sz="4" w:space="0"/>
            </w:tcBorders>
            <w:vAlign w:val="center"/>
          </w:tcPr>
          <w:p w14:paraId="73D05959">
            <w:pPr>
              <w:spacing w:line="0" w:lineRule="atLeast"/>
              <w:jc w:val="center"/>
              <w:rPr>
                <w:rFonts w:hint="eastAsia" w:ascii="Times New Roman" w:hAnsi="Times New Roman" w:eastAsia="方正仿宋_GBK" w:cs="Times New Roman"/>
                <w:sz w:val="24"/>
                <w:szCs w:val="24"/>
                <w:lang w:val="en-US" w:eastAsia="zh-CN"/>
              </w:rPr>
            </w:pPr>
            <w:r>
              <w:rPr>
                <w:rFonts w:hint="eastAsia" w:ascii="Times New Roman" w:hAnsi="Times New Roman" w:eastAsia="方正仿宋_GBK" w:cs="方正仿宋_GBK"/>
                <w:sz w:val="24"/>
                <w:szCs w:val="24"/>
                <w:lang w:val="en-US" w:eastAsia="zh-CN"/>
              </w:rPr>
              <w:t>10</w:t>
            </w:r>
          </w:p>
        </w:tc>
        <w:tc>
          <w:tcPr>
            <w:tcW w:w="1383" w:type="dxa"/>
            <w:tcBorders>
              <w:top w:val="single" w:color="auto" w:sz="4" w:space="0"/>
              <w:left w:val="single" w:color="auto" w:sz="4" w:space="0"/>
              <w:bottom w:val="single" w:color="auto" w:sz="4" w:space="0"/>
              <w:right w:val="single" w:color="auto" w:sz="4" w:space="0"/>
            </w:tcBorders>
            <w:vAlign w:val="center"/>
          </w:tcPr>
          <w:p w14:paraId="1BAA4520">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olor w:val="auto"/>
                <w:sz w:val="24"/>
                <w:szCs w:val="24"/>
                <w:highlight w:val="none"/>
                <w:lang w:val="en-US" w:eastAsia="zh-CN"/>
              </w:rPr>
              <w:t>≤36个月</w:t>
            </w:r>
          </w:p>
        </w:tc>
      </w:tr>
      <w:tr w14:paraId="65B6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27" w:type="dxa"/>
            <w:tcBorders>
              <w:top w:val="single" w:color="auto" w:sz="4" w:space="0"/>
              <w:left w:val="single" w:color="auto" w:sz="4" w:space="0"/>
              <w:bottom w:val="single" w:color="auto" w:sz="4" w:space="0"/>
              <w:right w:val="single" w:color="auto" w:sz="4" w:space="0"/>
            </w:tcBorders>
            <w:vAlign w:val="center"/>
          </w:tcPr>
          <w:p w14:paraId="1B00125D">
            <w:pPr>
              <w:widowControl/>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kern w:val="0"/>
                <w:sz w:val="24"/>
                <w:szCs w:val="24"/>
                <w:lang w:val="en-US" w:eastAsia="zh-CN"/>
              </w:rPr>
              <w:t>3-24</w:t>
            </w:r>
          </w:p>
        </w:tc>
        <w:tc>
          <w:tcPr>
            <w:tcW w:w="1287" w:type="dxa"/>
            <w:tcBorders>
              <w:top w:val="single" w:color="auto" w:sz="4" w:space="0"/>
              <w:left w:val="single" w:color="auto" w:sz="4" w:space="0"/>
              <w:bottom w:val="single" w:color="auto" w:sz="4" w:space="0"/>
              <w:right w:val="single" w:color="auto" w:sz="4" w:space="0"/>
            </w:tcBorders>
            <w:vAlign w:val="center"/>
          </w:tcPr>
          <w:p w14:paraId="106AF47C">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sz w:val="24"/>
                <w:szCs w:val="24"/>
                <w:lang w:val="en-US" w:eastAsia="zh-CN"/>
              </w:rPr>
              <w:t>面上</w:t>
            </w:r>
            <w:r>
              <w:rPr>
                <w:rFonts w:hint="eastAsia" w:ascii="Times New Roman" w:hAnsi="Times New Roman" w:eastAsia="方正仿宋_GBK" w:cs="方正仿宋_GBK"/>
                <w:sz w:val="24"/>
                <w:szCs w:val="24"/>
              </w:rPr>
              <w:t>项目</w:t>
            </w:r>
          </w:p>
        </w:tc>
        <w:tc>
          <w:tcPr>
            <w:tcW w:w="2123" w:type="dxa"/>
            <w:tcBorders>
              <w:top w:val="single" w:color="auto" w:sz="4" w:space="0"/>
              <w:left w:val="single" w:color="auto" w:sz="4" w:space="0"/>
              <w:bottom w:val="single" w:color="auto" w:sz="4" w:space="0"/>
              <w:right w:val="single" w:color="auto" w:sz="4" w:space="0"/>
            </w:tcBorders>
            <w:vAlign w:val="center"/>
          </w:tcPr>
          <w:p w14:paraId="235B247E">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基于人工智能超声显微造影的糖尿病足早期预警体系研究</w:t>
            </w:r>
          </w:p>
        </w:tc>
        <w:tc>
          <w:tcPr>
            <w:tcW w:w="6404" w:type="dxa"/>
            <w:tcBorders>
              <w:top w:val="single" w:color="auto" w:sz="4" w:space="0"/>
              <w:left w:val="single" w:color="auto" w:sz="4" w:space="0"/>
              <w:bottom w:val="single" w:color="auto" w:sz="4" w:space="0"/>
              <w:right w:val="single" w:color="auto" w:sz="4" w:space="0"/>
            </w:tcBorders>
            <w:vAlign w:val="center"/>
          </w:tcPr>
          <w:p w14:paraId="365E38B6">
            <w:pPr>
              <w:widowControl/>
              <w:spacing w:line="0" w:lineRule="atLeast"/>
              <w:jc w:val="both"/>
              <w:rPr>
                <w:rFonts w:hint="eastAsia" w:ascii="方正仿宋_GBK" w:hAnsi="方正仿宋_GBK" w:eastAsia="方正仿宋_GBK" w:cs="方正仿宋_GBK"/>
                <w:sz w:val="24"/>
                <w:szCs w:val="24"/>
              </w:rPr>
            </w:pPr>
          </w:p>
        </w:tc>
        <w:tc>
          <w:tcPr>
            <w:tcW w:w="1373" w:type="dxa"/>
            <w:tcBorders>
              <w:top w:val="single" w:color="auto" w:sz="4" w:space="0"/>
              <w:left w:val="single" w:color="auto" w:sz="4" w:space="0"/>
              <w:bottom w:val="single" w:color="auto" w:sz="4" w:space="0"/>
              <w:right w:val="single" w:color="auto" w:sz="4" w:space="0"/>
            </w:tcBorders>
            <w:vAlign w:val="center"/>
          </w:tcPr>
          <w:p w14:paraId="0390A939">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sz w:val="24"/>
                <w:szCs w:val="24"/>
                <w:lang w:val="en-US" w:eastAsia="zh-CN"/>
              </w:rPr>
              <w:t>10</w:t>
            </w:r>
          </w:p>
        </w:tc>
        <w:tc>
          <w:tcPr>
            <w:tcW w:w="1383" w:type="dxa"/>
            <w:tcBorders>
              <w:top w:val="single" w:color="auto" w:sz="4" w:space="0"/>
              <w:left w:val="single" w:color="auto" w:sz="4" w:space="0"/>
              <w:bottom w:val="single" w:color="auto" w:sz="4" w:space="0"/>
              <w:right w:val="single" w:color="auto" w:sz="4" w:space="0"/>
            </w:tcBorders>
            <w:vAlign w:val="center"/>
          </w:tcPr>
          <w:p w14:paraId="424CB0E3">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olor w:val="auto"/>
                <w:sz w:val="24"/>
                <w:szCs w:val="24"/>
                <w:highlight w:val="none"/>
                <w:lang w:val="en-US" w:eastAsia="zh-CN"/>
              </w:rPr>
              <w:t>≤36个月</w:t>
            </w:r>
          </w:p>
        </w:tc>
      </w:tr>
      <w:tr w14:paraId="3D56F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0" w:hRule="atLeast"/>
          <w:jc w:val="center"/>
        </w:trPr>
        <w:tc>
          <w:tcPr>
            <w:tcW w:w="1127" w:type="dxa"/>
            <w:tcBorders>
              <w:top w:val="single" w:color="auto" w:sz="4" w:space="0"/>
              <w:left w:val="single" w:color="auto" w:sz="4" w:space="0"/>
              <w:bottom w:val="single" w:color="auto" w:sz="4" w:space="0"/>
              <w:right w:val="single" w:color="auto" w:sz="4" w:space="0"/>
            </w:tcBorders>
            <w:vAlign w:val="center"/>
          </w:tcPr>
          <w:p w14:paraId="0FA37640">
            <w:pPr>
              <w:widowControl/>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kern w:val="0"/>
                <w:sz w:val="24"/>
                <w:szCs w:val="24"/>
                <w:lang w:val="en-US" w:eastAsia="zh-CN"/>
              </w:rPr>
              <w:t>3-25</w:t>
            </w:r>
          </w:p>
        </w:tc>
        <w:tc>
          <w:tcPr>
            <w:tcW w:w="1287" w:type="dxa"/>
            <w:tcBorders>
              <w:top w:val="single" w:color="auto" w:sz="4" w:space="0"/>
              <w:left w:val="single" w:color="auto" w:sz="4" w:space="0"/>
              <w:bottom w:val="single" w:color="auto" w:sz="4" w:space="0"/>
              <w:right w:val="single" w:color="auto" w:sz="4" w:space="0"/>
            </w:tcBorders>
            <w:vAlign w:val="center"/>
          </w:tcPr>
          <w:p w14:paraId="15EF140E">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sz w:val="24"/>
                <w:szCs w:val="24"/>
                <w:lang w:val="en-US" w:eastAsia="zh-CN"/>
              </w:rPr>
              <w:t>面上</w:t>
            </w:r>
            <w:r>
              <w:rPr>
                <w:rFonts w:hint="eastAsia" w:ascii="Times New Roman" w:hAnsi="Times New Roman" w:eastAsia="方正仿宋_GBK" w:cs="方正仿宋_GBK"/>
                <w:sz w:val="24"/>
                <w:szCs w:val="24"/>
              </w:rPr>
              <w:t>项目</w:t>
            </w:r>
          </w:p>
        </w:tc>
        <w:tc>
          <w:tcPr>
            <w:tcW w:w="2123" w:type="dxa"/>
            <w:tcBorders>
              <w:top w:val="single" w:color="auto" w:sz="4" w:space="0"/>
              <w:left w:val="single" w:color="auto" w:sz="4" w:space="0"/>
              <w:bottom w:val="single" w:color="auto" w:sz="4" w:space="0"/>
              <w:right w:val="single" w:color="auto" w:sz="4" w:space="0"/>
            </w:tcBorders>
            <w:vAlign w:val="center"/>
          </w:tcPr>
          <w:p w14:paraId="35E201AE">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超声响应型纳米粒在乳腺癌相关淋巴管多模态分子显影和靶向治疗研究</w:t>
            </w:r>
          </w:p>
        </w:tc>
        <w:tc>
          <w:tcPr>
            <w:tcW w:w="6404" w:type="dxa"/>
            <w:tcBorders>
              <w:top w:val="single" w:color="auto" w:sz="4" w:space="0"/>
              <w:left w:val="single" w:color="auto" w:sz="4" w:space="0"/>
              <w:bottom w:val="single" w:color="auto" w:sz="4" w:space="0"/>
              <w:right w:val="single" w:color="auto" w:sz="4" w:space="0"/>
            </w:tcBorders>
            <w:vAlign w:val="center"/>
          </w:tcPr>
          <w:p w14:paraId="5073E681">
            <w:pPr>
              <w:widowControl/>
              <w:spacing w:line="0" w:lineRule="atLeast"/>
              <w:jc w:val="both"/>
              <w:rPr>
                <w:rFonts w:hint="eastAsia" w:ascii="方正仿宋_GBK" w:hAnsi="方正仿宋_GBK" w:eastAsia="方正仿宋_GBK" w:cs="方正仿宋_GBK"/>
                <w:sz w:val="24"/>
                <w:szCs w:val="24"/>
              </w:rPr>
            </w:pPr>
          </w:p>
        </w:tc>
        <w:tc>
          <w:tcPr>
            <w:tcW w:w="1373" w:type="dxa"/>
            <w:tcBorders>
              <w:top w:val="single" w:color="auto" w:sz="4" w:space="0"/>
              <w:left w:val="single" w:color="auto" w:sz="4" w:space="0"/>
              <w:bottom w:val="single" w:color="auto" w:sz="4" w:space="0"/>
              <w:right w:val="single" w:color="auto" w:sz="4" w:space="0"/>
            </w:tcBorders>
            <w:vAlign w:val="center"/>
          </w:tcPr>
          <w:p w14:paraId="77A8E212">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sz w:val="24"/>
                <w:szCs w:val="24"/>
                <w:lang w:val="en-US" w:eastAsia="zh-CN"/>
              </w:rPr>
              <w:t>10</w:t>
            </w:r>
          </w:p>
        </w:tc>
        <w:tc>
          <w:tcPr>
            <w:tcW w:w="1383" w:type="dxa"/>
            <w:tcBorders>
              <w:top w:val="single" w:color="auto" w:sz="4" w:space="0"/>
              <w:left w:val="single" w:color="auto" w:sz="4" w:space="0"/>
              <w:bottom w:val="single" w:color="auto" w:sz="4" w:space="0"/>
              <w:right w:val="single" w:color="auto" w:sz="4" w:space="0"/>
            </w:tcBorders>
            <w:vAlign w:val="center"/>
          </w:tcPr>
          <w:p w14:paraId="2BDEAFC1">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olor w:val="auto"/>
                <w:sz w:val="24"/>
                <w:szCs w:val="24"/>
                <w:highlight w:val="none"/>
                <w:lang w:val="en-US" w:eastAsia="zh-CN"/>
              </w:rPr>
              <w:t>≤36个月</w:t>
            </w:r>
          </w:p>
        </w:tc>
      </w:tr>
      <w:tr w14:paraId="2C311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4" w:hRule="atLeast"/>
          <w:jc w:val="center"/>
        </w:trPr>
        <w:tc>
          <w:tcPr>
            <w:tcW w:w="1127" w:type="dxa"/>
            <w:tcBorders>
              <w:top w:val="single" w:color="auto" w:sz="4" w:space="0"/>
              <w:left w:val="single" w:color="auto" w:sz="4" w:space="0"/>
              <w:bottom w:val="single" w:color="auto" w:sz="4" w:space="0"/>
              <w:right w:val="single" w:color="auto" w:sz="4" w:space="0"/>
            </w:tcBorders>
            <w:vAlign w:val="center"/>
          </w:tcPr>
          <w:p w14:paraId="4F8717BA">
            <w:pPr>
              <w:widowControl/>
              <w:spacing w:line="0" w:lineRule="atLeast"/>
              <w:jc w:val="center"/>
              <w:rPr>
                <w:rFonts w:hint="default" w:ascii="Times New Roman" w:hAnsi="Times New Roman" w:eastAsia="方正仿宋_GBK" w:cs="Times New Roman"/>
                <w:sz w:val="24"/>
                <w:szCs w:val="24"/>
                <w:lang w:val="en-US" w:eastAsia="zh-CN"/>
              </w:rPr>
            </w:pPr>
            <w:r>
              <w:rPr>
                <w:rFonts w:hint="eastAsia" w:ascii="Times New Roman" w:hAnsi="Times New Roman" w:eastAsia="方正仿宋_GBK" w:cs="方正仿宋_GBK"/>
                <w:kern w:val="0"/>
                <w:sz w:val="24"/>
                <w:szCs w:val="24"/>
                <w:lang w:val="en-US" w:eastAsia="zh-CN"/>
              </w:rPr>
              <w:t>3-26</w:t>
            </w:r>
          </w:p>
        </w:tc>
        <w:tc>
          <w:tcPr>
            <w:tcW w:w="1287" w:type="dxa"/>
            <w:tcBorders>
              <w:top w:val="single" w:color="auto" w:sz="4" w:space="0"/>
              <w:left w:val="single" w:color="auto" w:sz="4" w:space="0"/>
              <w:bottom w:val="single" w:color="auto" w:sz="4" w:space="0"/>
              <w:right w:val="single" w:color="auto" w:sz="4" w:space="0"/>
            </w:tcBorders>
            <w:vAlign w:val="center"/>
          </w:tcPr>
          <w:p w14:paraId="63933CCB">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sz w:val="24"/>
                <w:szCs w:val="24"/>
                <w:lang w:val="en-US" w:eastAsia="zh-CN"/>
              </w:rPr>
              <w:t>面上</w:t>
            </w:r>
            <w:r>
              <w:rPr>
                <w:rFonts w:hint="eastAsia" w:ascii="Times New Roman" w:hAnsi="Times New Roman" w:eastAsia="方正仿宋_GBK" w:cs="方正仿宋_GBK"/>
                <w:sz w:val="24"/>
                <w:szCs w:val="24"/>
              </w:rPr>
              <w:t>项目</w:t>
            </w:r>
          </w:p>
        </w:tc>
        <w:tc>
          <w:tcPr>
            <w:tcW w:w="2123" w:type="dxa"/>
            <w:tcBorders>
              <w:top w:val="single" w:color="auto" w:sz="4" w:space="0"/>
              <w:left w:val="single" w:color="auto" w:sz="4" w:space="0"/>
              <w:bottom w:val="single" w:color="auto" w:sz="4" w:space="0"/>
              <w:right w:val="single" w:color="auto" w:sz="4" w:space="0"/>
            </w:tcBorders>
            <w:vAlign w:val="center"/>
          </w:tcPr>
          <w:p w14:paraId="7C7DBE72">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基于多参数MRI的危急重症儿童意识障碍评估与预后预测体系构建研究</w:t>
            </w:r>
          </w:p>
        </w:tc>
        <w:tc>
          <w:tcPr>
            <w:tcW w:w="6404" w:type="dxa"/>
            <w:tcBorders>
              <w:top w:val="single" w:color="auto" w:sz="4" w:space="0"/>
              <w:left w:val="single" w:color="auto" w:sz="4" w:space="0"/>
              <w:bottom w:val="single" w:color="auto" w:sz="4" w:space="0"/>
              <w:right w:val="single" w:color="auto" w:sz="4" w:space="0"/>
            </w:tcBorders>
            <w:vAlign w:val="center"/>
          </w:tcPr>
          <w:p w14:paraId="31A15130">
            <w:pPr>
              <w:widowControl/>
              <w:spacing w:line="0" w:lineRule="atLeast"/>
              <w:jc w:val="both"/>
              <w:rPr>
                <w:rFonts w:hint="eastAsia" w:ascii="方正仿宋_GBK" w:hAnsi="方正仿宋_GBK" w:eastAsia="方正仿宋_GBK" w:cs="方正仿宋_GBK"/>
                <w:sz w:val="24"/>
                <w:szCs w:val="24"/>
              </w:rPr>
            </w:pPr>
          </w:p>
        </w:tc>
        <w:tc>
          <w:tcPr>
            <w:tcW w:w="1373" w:type="dxa"/>
            <w:tcBorders>
              <w:top w:val="single" w:color="auto" w:sz="4" w:space="0"/>
              <w:left w:val="single" w:color="auto" w:sz="4" w:space="0"/>
              <w:bottom w:val="single" w:color="auto" w:sz="4" w:space="0"/>
              <w:right w:val="single" w:color="auto" w:sz="4" w:space="0"/>
            </w:tcBorders>
            <w:vAlign w:val="center"/>
          </w:tcPr>
          <w:p w14:paraId="3B8F7A01">
            <w:pPr>
              <w:spacing w:line="0" w:lineRule="atLeast"/>
              <w:jc w:val="center"/>
              <w:rPr>
                <w:rFonts w:hint="eastAsia" w:ascii="Times New Roman" w:hAnsi="Times New Roman" w:eastAsia="方正仿宋_GBK" w:cs="Times New Roman"/>
                <w:sz w:val="24"/>
                <w:szCs w:val="24"/>
                <w:lang w:val="en-US" w:eastAsia="zh-CN"/>
              </w:rPr>
            </w:pPr>
            <w:r>
              <w:rPr>
                <w:rFonts w:hint="eastAsia" w:ascii="Times New Roman" w:hAnsi="Times New Roman" w:eastAsia="方正仿宋_GBK" w:cs="方正仿宋_GBK"/>
                <w:sz w:val="24"/>
                <w:szCs w:val="24"/>
                <w:lang w:val="en-US" w:eastAsia="zh-CN"/>
              </w:rPr>
              <w:t>10</w:t>
            </w:r>
          </w:p>
        </w:tc>
        <w:tc>
          <w:tcPr>
            <w:tcW w:w="1383" w:type="dxa"/>
            <w:tcBorders>
              <w:top w:val="single" w:color="auto" w:sz="4" w:space="0"/>
              <w:left w:val="single" w:color="auto" w:sz="4" w:space="0"/>
              <w:bottom w:val="single" w:color="auto" w:sz="4" w:space="0"/>
              <w:right w:val="single" w:color="auto" w:sz="4" w:space="0"/>
            </w:tcBorders>
            <w:vAlign w:val="center"/>
          </w:tcPr>
          <w:p w14:paraId="4694B72E">
            <w:pPr>
              <w:spacing w:line="0" w:lineRule="atLeast"/>
              <w:jc w:val="center"/>
              <w:rPr>
                <w:rFonts w:hint="default" w:ascii="Times New Roman" w:hAnsi="Times New Roman" w:eastAsia="方正仿宋_GBK" w:cs="Times New Roman"/>
                <w:sz w:val="24"/>
                <w:szCs w:val="24"/>
                <w:lang w:val="en-US" w:eastAsia="zh-CN"/>
              </w:rPr>
            </w:pPr>
            <w:r>
              <w:rPr>
                <w:rFonts w:hint="eastAsia" w:ascii="Times New Roman" w:hAnsi="Times New Roman" w:eastAsia="方正仿宋_GBK"/>
                <w:color w:val="auto"/>
                <w:sz w:val="24"/>
                <w:szCs w:val="24"/>
                <w:highlight w:val="none"/>
                <w:lang w:val="en-US" w:eastAsia="zh-CN"/>
              </w:rPr>
              <w:t>≤36个月</w:t>
            </w:r>
          </w:p>
        </w:tc>
      </w:tr>
      <w:tr w14:paraId="1B929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atLeast"/>
          <w:jc w:val="center"/>
        </w:trPr>
        <w:tc>
          <w:tcPr>
            <w:tcW w:w="1127" w:type="dxa"/>
            <w:tcBorders>
              <w:top w:val="single" w:color="auto" w:sz="4" w:space="0"/>
              <w:left w:val="single" w:color="auto" w:sz="4" w:space="0"/>
              <w:bottom w:val="single" w:color="auto" w:sz="4" w:space="0"/>
              <w:right w:val="single" w:color="auto" w:sz="4" w:space="0"/>
            </w:tcBorders>
            <w:vAlign w:val="center"/>
          </w:tcPr>
          <w:p w14:paraId="63704C0F">
            <w:pPr>
              <w:widowControl/>
              <w:spacing w:line="0" w:lineRule="atLeast"/>
              <w:jc w:val="center"/>
              <w:rPr>
                <w:rFonts w:hint="default" w:ascii="Times New Roman" w:hAnsi="Times New Roman" w:eastAsia="方正仿宋_GBK" w:cs="Times New Roman"/>
                <w:sz w:val="24"/>
                <w:szCs w:val="24"/>
                <w:lang w:val="en-US" w:eastAsia="zh-CN"/>
              </w:rPr>
            </w:pPr>
            <w:r>
              <w:rPr>
                <w:rFonts w:hint="eastAsia" w:ascii="Times New Roman" w:hAnsi="Times New Roman" w:eastAsia="方正仿宋_GBK" w:cs="方正仿宋_GBK"/>
                <w:kern w:val="0"/>
                <w:sz w:val="24"/>
                <w:szCs w:val="24"/>
                <w:lang w:val="en-US" w:eastAsia="zh-CN"/>
              </w:rPr>
              <w:t>3-27</w:t>
            </w:r>
          </w:p>
        </w:tc>
        <w:tc>
          <w:tcPr>
            <w:tcW w:w="1287" w:type="dxa"/>
            <w:tcBorders>
              <w:top w:val="single" w:color="auto" w:sz="4" w:space="0"/>
              <w:left w:val="single" w:color="auto" w:sz="4" w:space="0"/>
              <w:bottom w:val="single" w:color="auto" w:sz="4" w:space="0"/>
              <w:right w:val="single" w:color="auto" w:sz="4" w:space="0"/>
            </w:tcBorders>
            <w:vAlign w:val="center"/>
          </w:tcPr>
          <w:p w14:paraId="40D8241A">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sz w:val="24"/>
                <w:szCs w:val="24"/>
                <w:lang w:val="en-US" w:eastAsia="zh-CN"/>
              </w:rPr>
              <w:t>面上</w:t>
            </w:r>
            <w:r>
              <w:rPr>
                <w:rFonts w:hint="eastAsia" w:ascii="Times New Roman" w:hAnsi="Times New Roman" w:eastAsia="方正仿宋_GBK" w:cs="方正仿宋_GBK"/>
                <w:sz w:val="24"/>
                <w:szCs w:val="24"/>
              </w:rPr>
              <w:t>项目</w:t>
            </w:r>
          </w:p>
        </w:tc>
        <w:tc>
          <w:tcPr>
            <w:tcW w:w="2123" w:type="dxa"/>
            <w:tcBorders>
              <w:top w:val="single" w:color="auto" w:sz="4" w:space="0"/>
              <w:left w:val="single" w:color="auto" w:sz="4" w:space="0"/>
              <w:bottom w:val="single" w:color="auto" w:sz="4" w:space="0"/>
              <w:right w:val="single" w:color="auto" w:sz="4" w:space="0"/>
            </w:tcBorders>
            <w:vAlign w:val="center"/>
          </w:tcPr>
          <w:p w14:paraId="0B38BE18">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超声引导外泌体精准递送联合3D打印钛金属笼治疗早期股骨头坏死的机制研究</w:t>
            </w:r>
          </w:p>
        </w:tc>
        <w:tc>
          <w:tcPr>
            <w:tcW w:w="6404" w:type="dxa"/>
            <w:tcBorders>
              <w:top w:val="single" w:color="auto" w:sz="4" w:space="0"/>
              <w:left w:val="single" w:color="auto" w:sz="4" w:space="0"/>
              <w:bottom w:val="single" w:color="auto" w:sz="4" w:space="0"/>
              <w:right w:val="single" w:color="auto" w:sz="4" w:space="0"/>
            </w:tcBorders>
            <w:vAlign w:val="center"/>
          </w:tcPr>
          <w:p w14:paraId="66C8FA31">
            <w:pPr>
              <w:widowControl/>
              <w:spacing w:line="0" w:lineRule="atLeast"/>
              <w:jc w:val="both"/>
              <w:rPr>
                <w:rFonts w:hint="eastAsia" w:ascii="方正仿宋_GBK" w:hAnsi="方正仿宋_GBK" w:eastAsia="方正仿宋_GBK" w:cs="方正仿宋_GBK"/>
                <w:sz w:val="24"/>
                <w:szCs w:val="24"/>
              </w:rPr>
            </w:pPr>
          </w:p>
        </w:tc>
        <w:tc>
          <w:tcPr>
            <w:tcW w:w="1373" w:type="dxa"/>
            <w:tcBorders>
              <w:top w:val="single" w:color="auto" w:sz="4" w:space="0"/>
              <w:left w:val="single" w:color="auto" w:sz="4" w:space="0"/>
              <w:bottom w:val="single" w:color="auto" w:sz="4" w:space="0"/>
              <w:right w:val="single" w:color="auto" w:sz="4" w:space="0"/>
            </w:tcBorders>
            <w:vAlign w:val="center"/>
          </w:tcPr>
          <w:p w14:paraId="5B1293A3">
            <w:pPr>
              <w:spacing w:line="0" w:lineRule="atLeast"/>
              <w:jc w:val="center"/>
              <w:rPr>
                <w:rFonts w:hint="eastAsia" w:ascii="Times New Roman" w:hAnsi="Times New Roman" w:eastAsia="方正仿宋_GBK" w:cs="Times New Roman"/>
                <w:sz w:val="24"/>
                <w:szCs w:val="24"/>
                <w:lang w:val="en-US" w:eastAsia="zh-CN"/>
              </w:rPr>
            </w:pPr>
            <w:r>
              <w:rPr>
                <w:rFonts w:hint="eastAsia" w:ascii="Times New Roman" w:hAnsi="Times New Roman" w:eastAsia="方正仿宋_GBK" w:cs="方正仿宋_GBK"/>
                <w:sz w:val="24"/>
                <w:szCs w:val="24"/>
                <w:lang w:val="en-US" w:eastAsia="zh-CN"/>
              </w:rPr>
              <w:t>10</w:t>
            </w:r>
          </w:p>
        </w:tc>
        <w:tc>
          <w:tcPr>
            <w:tcW w:w="1383" w:type="dxa"/>
            <w:tcBorders>
              <w:top w:val="single" w:color="auto" w:sz="4" w:space="0"/>
              <w:left w:val="single" w:color="auto" w:sz="4" w:space="0"/>
              <w:bottom w:val="single" w:color="auto" w:sz="4" w:space="0"/>
              <w:right w:val="single" w:color="auto" w:sz="4" w:space="0"/>
            </w:tcBorders>
            <w:vAlign w:val="center"/>
          </w:tcPr>
          <w:p w14:paraId="31CA0FDA">
            <w:pPr>
              <w:spacing w:line="0" w:lineRule="atLeast"/>
              <w:jc w:val="center"/>
              <w:rPr>
                <w:rFonts w:hint="default" w:ascii="Times New Roman" w:hAnsi="Times New Roman" w:eastAsia="方正仿宋_GBK" w:cs="Times New Roman"/>
                <w:sz w:val="24"/>
                <w:szCs w:val="24"/>
                <w:lang w:val="en-US" w:eastAsia="zh-CN"/>
              </w:rPr>
            </w:pPr>
            <w:r>
              <w:rPr>
                <w:rFonts w:hint="eastAsia" w:ascii="Times New Roman" w:hAnsi="Times New Roman" w:eastAsia="方正仿宋_GBK"/>
                <w:color w:val="auto"/>
                <w:sz w:val="24"/>
                <w:szCs w:val="24"/>
                <w:highlight w:val="none"/>
                <w:lang w:val="en-US" w:eastAsia="zh-CN"/>
              </w:rPr>
              <w:t>≤36个月</w:t>
            </w:r>
          </w:p>
        </w:tc>
      </w:tr>
      <w:tr w14:paraId="359FD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7" w:hRule="atLeast"/>
          <w:jc w:val="center"/>
        </w:trPr>
        <w:tc>
          <w:tcPr>
            <w:tcW w:w="1127" w:type="dxa"/>
            <w:tcBorders>
              <w:top w:val="single" w:color="auto" w:sz="4" w:space="0"/>
              <w:left w:val="single" w:color="auto" w:sz="4" w:space="0"/>
              <w:bottom w:val="single" w:color="auto" w:sz="4" w:space="0"/>
              <w:right w:val="single" w:color="auto" w:sz="4" w:space="0"/>
            </w:tcBorders>
            <w:vAlign w:val="center"/>
          </w:tcPr>
          <w:p w14:paraId="7FDBBD62">
            <w:pPr>
              <w:widowControl/>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kern w:val="0"/>
                <w:sz w:val="24"/>
                <w:szCs w:val="24"/>
                <w:lang w:val="en-US" w:eastAsia="zh-CN"/>
              </w:rPr>
              <w:t>3-28</w:t>
            </w:r>
          </w:p>
        </w:tc>
        <w:tc>
          <w:tcPr>
            <w:tcW w:w="1287" w:type="dxa"/>
            <w:tcBorders>
              <w:top w:val="single" w:color="auto" w:sz="4" w:space="0"/>
              <w:left w:val="single" w:color="auto" w:sz="4" w:space="0"/>
              <w:bottom w:val="single" w:color="auto" w:sz="4" w:space="0"/>
              <w:right w:val="single" w:color="auto" w:sz="4" w:space="0"/>
            </w:tcBorders>
            <w:vAlign w:val="center"/>
          </w:tcPr>
          <w:p w14:paraId="7DE823A0">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sz w:val="24"/>
                <w:szCs w:val="24"/>
                <w:lang w:val="en-US" w:eastAsia="zh-CN"/>
              </w:rPr>
              <w:t>面上</w:t>
            </w:r>
            <w:r>
              <w:rPr>
                <w:rFonts w:hint="eastAsia" w:ascii="Times New Roman" w:hAnsi="Times New Roman" w:eastAsia="方正仿宋_GBK" w:cs="方正仿宋_GBK"/>
                <w:sz w:val="24"/>
                <w:szCs w:val="24"/>
              </w:rPr>
              <w:t>项目</w:t>
            </w:r>
          </w:p>
        </w:tc>
        <w:tc>
          <w:tcPr>
            <w:tcW w:w="2123" w:type="dxa"/>
            <w:tcBorders>
              <w:top w:val="single" w:color="auto" w:sz="4" w:space="0"/>
              <w:left w:val="single" w:color="auto" w:sz="4" w:space="0"/>
              <w:bottom w:val="single" w:color="auto" w:sz="4" w:space="0"/>
              <w:right w:val="single" w:color="auto" w:sz="4" w:space="0"/>
            </w:tcBorders>
            <w:vAlign w:val="center"/>
          </w:tcPr>
          <w:p w14:paraId="66B114CF">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i w:val="0"/>
                <w:iCs w:val="0"/>
                <w:color w:val="000000"/>
                <w:kern w:val="0"/>
                <w:sz w:val="24"/>
                <w:szCs w:val="24"/>
                <w:u w:val="none"/>
                <w:lang w:val="en-US" w:eastAsia="zh-CN" w:bidi="ar"/>
              </w:rPr>
              <w:t>基于时空流形几何先验与门控注意力机制的神经阻滞超声动态导航研究</w:t>
            </w:r>
          </w:p>
        </w:tc>
        <w:tc>
          <w:tcPr>
            <w:tcW w:w="6404" w:type="dxa"/>
            <w:tcBorders>
              <w:top w:val="single" w:color="auto" w:sz="4" w:space="0"/>
              <w:left w:val="single" w:color="auto" w:sz="4" w:space="0"/>
              <w:bottom w:val="single" w:color="auto" w:sz="4" w:space="0"/>
              <w:right w:val="single" w:color="auto" w:sz="4" w:space="0"/>
            </w:tcBorders>
            <w:vAlign w:val="center"/>
          </w:tcPr>
          <w:p w14:paraId="4B579A29">
            <w:pPr>
              <w:widowControl/>
              <w:spacing w:line="0" w:lineRule="atLeast"/>
              <w:jc w:val="both"/>
              <w:rPr>
                <w:rFonts w:hint="eastAsia" w:ascii="方正仿宋_GBK" w:hAnsi="方正仿宋_GBK" w:eastAsia="方正仿宋_GBK" w:cs="方正仿宋_GBK"/>
                <w:sz w:val="24"/>
                <w:szCs w:val="24"/>
              </w:rPr>
            </w:pPr>
          </w:p>
        </w:tc>
        <w:tc>
          <w:tcPr>
            <w:tcW w:w="1373" w:type="dxa"/>
            <w:tcBorders>
              <w:top w:val="single" w:color="auto" w:sz="4" w:space="0"/>
              <w:left w:val="single" w:color="auto" w:sz="4" w:space="0"/>
              <w:bottom w:val="single" w:color="auto" w:sz="4" w:space="0"/>
              <w:right w:val="single" w:color="auto" w:sz="4" w:space="0"/>
            </w:tcBorders>
            <w:vAlign w:val="center"/>
          </w:tcPr>
          <w:p w14:paraId="591B5BC9">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s="方正仿宋_GBK"/>
                <w:sz w:val="24"/>
                <w:szCs w:val="24"/>
                <w:lang w:val="en-US" w:eastAsia="zh-CN"/>
              </w:rPr>
              <w:t>10</w:t>
            </w:r>
          </w:p>
        </w:tc>
        <w:tc>
          <w:tcPr>
            <w:tcW w:w="1383" w:type="dxa"/>
            <w:tcBorders>
              <w:top w:val="single" w:color="auto" w:sz="4" w:space="0"/>
              <w:left w:val="single" w:color="auto" w:sz="4" w:space="0"/>
              <w:bottom w:val="single" w:color="auto" w:sz="4" w:space="0"/>
              <w:right w:val="single" w:color="auto" w:sz="4" w:space="0"/>
            </w:tcBorders>
            <w:vAlign w:val="center"/>
          </w:tcPr>
          <w:p w14:paraId="2666A035">
            <w:pPr>
              <w:spacing w:line="0" w:lineRule="atLeast"/>
              <w:jc w:val="center"/>
              <w:rPr>
                <w:rFonts w:ascii="Times New Roman" w:hAnsi="Times New Roman" w:eastAsia="方正仿宋_GBK" w:cs="Times New Roman"/>
                <w:sz w:val="24"/>
                <w:szCs w:val="24"/>
              </w:rPr>
            </w:pPr>
            <w:r>
              <w:rPr>
                <w:rFonts w:hint="eastAsia" w:ascii="Times New Roman" w:hAnsi="Times New Roman" w:eastAsia="方正仿宋_GBK"/>
                <w:color w:val="auto"/>
                <w:sz w:val="24"/>
                <w:szCs w:val="24"/>
                <w:highlight w:val="none"/>
                <w:lang w:val="en-US" w:eastAsia="zh-CN"/>
              </w:rPr>
              <w:t>≤36个月</w:t>
            </w:r>
          </w:p>
        </w:tc>
      </w:tr>
    </w:tbl>
    <w:p w14:paraId="529101F8">
      <w:pPr>
        <w:widowControl/>
        <w:jc w:val="left"/>
        <w:rPr>
          <w:rFonts w:ascii="Times New Roman" w:hAnsi="Times New Roman" w:eastAsia="方正楷体_GBK" w:cs="Times New Roman"/>
          <w:color w:val="auto"/>
          <w:sz w:val="32"/>
          <w:szCs w:val="32"/>
        </w:rPr>
      </w:pPr>
      <w:bookmarkStart w:id="0" w:name="_GoBack"/>
      <w:bookmarkEnd w:id="0"/>
    </w:p>
    <w:sectPr>
      <w:footerReference r:id="rId3" w:type="default"/>
      <w:pgSz w:w="16838" w:h="11906" w:orient="landscape"/>
      <w:pgMar w:top="1803" w:right="1440" w:bottom="1803" w:left="1440"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_GBK">
    <w:panose1 w:val="03000509000000000000"/>
    <w:charset w:val="86"/>
    <w:family w:val="script"/>
    <w:pitch w:val="default"/>
    <w:sig w:usb0="00000001" w:usb1="080E0000" w:usb2="00000000" w:usb3="00000000" w:csb0="00040000" w:csb1="00000000"/>
    <w:embedRegular r:id="rId1" w:fontKey="{A3F2329A-1AF7-49F9-B3A7-1A9BC060B82A}"/>
  </w:font>
  <w:font w:name="方正黑体_GBK">
    <w:panose1 w:val="03000509000000000000"/>
    <w:charset w:val="86"/>
    <w:family w:val="script"/>
    <w:pitch w:val="default"/>
    <w:sig w:usb0="00000001" w:usb1="080E0000" w:usb2="00000000" w:usb3="00000000" w:csb0="00040000" w:csb1="00000000"/>
    <w:embedRegular r:id="rId2" w:fontKey="{59631074-008B-4039-ACD1-98851536171E}"/>
  </w:font>
  <w:font w:name="方正小标宋_GBK">
    <w:panose1 w:val="03000509000000000000"/>
    <w:charset w:val="86"/>
    <w:family w:val="script"/>
    <w:pitch w:val="default"/>
    <w:sig w:usb0="00000001" w:usb1="080E0000" w:usb2="00000000" w:usb3="00000000" w:csb0="00040000" w:csb1="00000000"/>
    <w:embedRegular r:id="rId3" w:fontKey="{6C2242F5-343F-4EDC-9B4E-AA3F2762B8FA}"/>
  </w:font>
  <w:font w:name="方正楷体_GBK">
    <w:panose1 w:val="03000509000000000000"/>
    <w:charset w:val="86"/>
    <w:family w:val="script"/>
    <w:pitch w:val="default"/>
    <w:sig w:usb0="00000001" w:usb1="080E0000" w:usb2="00000000" w:usb3="00000000" w:csb0="00040000" w:csb1="00000000"/>
    <w:embedRegular r:id="rId4" w:fontKey="{A41D33C2-3EAC-4648-84CF-5C2341F67A4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65942852"/>
    </w:sdtPr>
    <w:sdtContent>
      <w:p w14:paraId="3F6F92A6">
        <w:pPr>
          <w:pStyle w:val="4"/>
          <w:jc w:val="center"/>
        </w:pPr>
        <w:r>
          <w:fldChar w:fldCharType="begin"/>
        </w:r>
        <w:r>
          <w:instrText xml:space="preserve">PAGE   \* MERGEFORMAT</w:instrText>
        </w:r>
        <w:r>
          <w:fldChar w:fldCharType="separate"/>
        </w:r>
        <w:r>
          <w:rPr>
            <w:lang w:val="zh-CN"/>
          </w:rPr>
          <w:t>2</w:t>
        </w:r>
        <w:r>
          <w:fldChar w:fldCharType="end"/>
        </w:r>
      </w:p>
    </w:sdtContent>
  </w:sdt>
  <w:p w14:paraId="07D927D6">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MxYTBmM2ExNDA5MTI5NmEwNjA4YTk5MmRmY2Y2MzgifQ=="/>
    <w:docVar w:name="KSO_WPS_MARK_KEY" w:val="530c7263-2aab-4c17-a000-6ca164d7a097"/>
  </w:docVars>
  <w:rsids>
    <w:rsidRoot w:val="00200A62"/>
    <w:rsid w:val="00001652"/>
    <w:rsid w:val="00035490"/>
    <w:rsid w:val="0006236B"/>
    <w:rsid w:val="00062FFB"/>
    <w:rsid w:val="00100330"/>
    <w:rsid w:val="0010775C"/>
    <w:rsid w:val="0012316E"/>
    <w:rsid w:val="0013517C"/>
    <w:rsid w:val="0015523B"/>
    <w:rsid w:val="0017481B"/>
    <w:rsid w:val="00175ED2"/>
    <w:rsid w:val="001A61A1"/>
    <w:rsid w:val="001C4DA7"/>
    <w:rsid w:val="001E7ED2"/>
    <w:rsid w:val="001E7EF5"/>
    <w:rsid w:val="00200A62"/>
    <w:rsid w:val="002119B3"/>
    <w:rsid w:val="00233097"/>
    <w:rsid w:val="002A5F87"/>
    <w:rsid w:val="002B1437"/>
    <w:rsid w:val="002C09A9"/>
    <w:rsid w:val="002E7E89"/>
    <w:rsid w:val="002F01B3"/>
    <w:rsid w:val="002F2159"/>
    <w:rsid w:val="00322592"/>
    <w:rsid w:val="00346349"/>
    <w:rsid w:val="00355629"/>
    <w:rsid w:val="003822B2"/>
    <w:rsid w:val="0038398F"/>
    <w:rsid w:val="003A2F2E"/>
    <w:rsid w:val="003C7C30"/>
    <w:rsid w:val="003D718F"/>
    <w:rsid w:val="003E1DFB"/>
    <w:rsid w:val="003F7DE8"/>
    <w:rsid w:val="00462463"/>
    <w:rsid w:val="00463D8D"/>
    <w:rsid w:val="00473BCB"/>
    <w:rsid w:val="004A0D78"/>
    <w:rsid w:val="004C2F4C"/>
    <w:rsid w:val="00501B59"/>
    <w:rsid w:val="00535BF2"/>
    <w:rsid w:val="00591CAC"/>
    <w:rsid w:val="005A4A16"/>
    <w:rsid w:val="005A6FEC"/>
    <w:rsid w:val="005C7F44"/>
    <w:rsid w:val="005E0774"/>
    <w:rsid w:val="005F11AD"/>
    <w:rsid w:val="0060065F"/>
    <w:rsid w:val="006249A3"/>
    <w:rsid w:val="006921B8"/>
    <w:rsid w:val="006A20A6"/>
    <w:rsid w:val="006B01AD"/>
    <w:rsid w:val="006C6D51"/>
    <w:rsid w:val="006E5023"/>
    <w:rsid w:val="006E537F"/>
    <w:rsid w:val="007114C5"/>
    <w:rsid w:val="007146D9"/>
    <w:rsid w:val="00726A65"/>
    <w:rsid w:val="00727D35"/>
    <w:rsid w:val="00733987"/>
    <w:rsid w:val="00761B24"/>
    <w:rsid w:val="00767D82"/>
    <w:rsid w:val="0077237D"/>
    <w:rsid w:val="00776AD2"/>
    <w:rsid w:val="0078768E"/>
    <w:rsid w:val="0079422E"/>
    <w:rsid w:val="007A0E7C"/>
    <w:rsid w:val="007A36A4"/>
    <w:rsid w:val="008433A3"/>
    <w:rsid w:val="008733A3"/>
    <w:rsid w:val="0087726A"/>
    <w:rsid w:val="00885E75"/>
    <w:rsid w:val="00892991"/>
    <w:rsid w:val="009139B2"/>
    <w:rsid w:val="0092199F"/>
    <w:rsid w:val="0092672A"/>
    <w:rsid w:val="009810C2"/>
    <w:rsid w:val="0098126D"/>
    <w:rsid w:val="009941D9"/>
    <w:rsid w:val="009B55F0"/>
    <w:rsid w:val="009F1B30"/>
    <w:rsid w:val="00A017D4"/>
    <w:rsid w:val="00A2091F"/>
    <w:rsid w:val="00A53CE6"/>
    <w:rsid w:val="00A63E76"/>
    <w:rsid w:val="00A75DA0"/>
    <w:rsid w:val="00A83D9D"/>
    <w:rsid w:val="00AA7B3C"/>
    <w:rsid w:val="00AC0074"/>
    <w:rsid w:val="00AC21B4"/>
    <w:rsid w:val="00AD4B8C"/>
    <w:rsid w:val="00AF201E"/>
    <w:rsid w:val="00AF56B3"/>
    <w:rsid w:val="00B2153E"/>
    <w:rsid w:val="00B35204"/>
    <w:rsid w:val="00B405AE"/>
    <w:rsid w:val="00B71408"/>
    <w:rsid w:val="00B9682E"/>
    <w:rsid w:val="00BB45D8"/>
    <w:rsid w:val="00C56837"/>
    <w:rsid w:val="00C93707"/>
    <w:rsid w:val="00C95204"/>
    <w:rsid w:val="00CD78C5"/>
    <w:rsid w:val="00D02897"/>
    <w:rsid w:val="00D17B89"/>
    <w:rsid w:val="00D217E2"/>
    <w:rsid w:val="00D307AD"/>
    <w:rsid w:val="00D826A9"/>
    <w:rsid w:val="00DC062F"/>
    <w:rsid w:val="00E1432A"/>
    <w:rsid w:val="00E27693"/>
    <w:rsid w:val="00E371DB"/>
    <w:rsid w:val="00E95F93"/>
    <w:rsid w:val="00EE1DA2"/>
    <w:rsid w:val="00EE5EED"/>
    <w:rsid w:val="00F01C6B"/>
    <w:rsid w:val="00F302B0"/>
    <w:rsid w:val="00F40C39"/>
    <w:rsid w:val="00F4351E"/>
    <w:rsid w:val="00F513A4"/>
    <w:rsid w:val="01417E18"/>
    <w:rsid w:val="02155544"/>
    <w:rsid w:val="022F565F"/>
    <w:rsid w:val="0236335D"/>
    <w:rsid w:val="02820350"/>
    <w:rsid w:val="02E82CEB"/>
    <w:rsid w:val="036F4F85"/>
    <w:rsid w:val="03C52BEB"/>
    <w:rsid w:val="05C25634"/>
    <w:rsid w:val="05C30BB1"/>
    <w:rsid w:val="06317B70"/>
    <w:rsid w:val="0652734C"/>
    <w:rsid w:val="065501E1"/>
    <w:rsid w:val="06622973"/>
    <w:rsid w:val="069D39AB"/>
    <w:rsid w:val="06B31288"/>
    <w:rsid w:val="06DE46EF"/>
    <w:rsid w:val="0721638A"/>
    <w:rsid w:val="075C5614"/>
    <w:rsid w:val="079C1EB4"/>
    <w:rsid w:val="07AE01F0"/>
    <w:rsid w:val="086229AB"/>
    <w:rsid w:val="08AA0601"/>
    <w:rsid w:val="091349BB"/>
    <w:rsid w:val="09C556F2"/>
    <w:rsid w:val="09DD4CAF"/>
    <w:rsid w:val="0A067AB9"/>
    <w:rsid w:val="0A116B8A"/>
    <w:rsid w:val="0A4200E2"/>
    <w:rsid w:val="0A963F90"/>
    <w:rsid w:val="0AE222D4"/>
    <w:rsid w:val="0B147AFF"/>
    <w:rsid w:val="0C79114D"/>
    <w:rsid w:val="0C8D513C"/>
    <w:rsid w:val="0C917B0E"/>
    <w:rsid w:val="0CC63F32"/>
    <w:rsid w:val="0D501777"/>
    <w:rsid w:val="0D921B8B"/>
    <w:rsid w:val="0F59694D"/>
    <w:rsid w:val="108A71B8"/>
    <w:rsid w:val="10D426BF"/>
    <w:rsid w:val="10E8616A"/>
    <w:rsid w:val="111A5BF3"/>
    <w:rsid w:val="11DF30C9"/>
    <w:rsid w:val="1222745A"/>
    <w:rsid w:val="126B2BAF"/>
    <w:rsid w:val="130B7EEE"/>
    <w:rsid w:val="1332191F"/>
    <w:rsid w:val="13AF5C21"/>
    <w:rsid w:val="13B81E24"/>
    <w:rsid w:val="13EE3A98"/>
    <w:rsid w:val="14627FE2"/>
    <w:rsid w:val="14A14FAE"/>
    <w:rsid w:val="14AE103D"/>
    <w:rsid w:val="15791A87"/>
    <w:rsid w:val="15926028"/>
    <w:rsid w:val="15990F94"/>
    <w:rsid w:val="162E0A83"/>
    <w:rsid w:val="167D1103"/>
    <w:rsid w:val="169C3035"/>
    <w:rsid w:val="16AD3807"/>
    <w:rsid w:val="17261283"/>
    <w:rsid w:val="17795D6E"/>
    <w:rsid w:val="177F5569"/>
    <w:rsid w:val="17E22839"/>
    <w:rsid w:val="18A1732B"/>
    <w:rsid w:val="1AE705B7"/>
    <w:rsid w:val="1CBC5B52"/>
    <w:rsid w:val="1CF71C0F"/>
    <w:rsid w:val="1D3A646D"/>
    <w:rsid w:val="1D403D49"/>
    <w:rsid w:val="1DC15D79"/>
    <w:rsid w:val="1DE507D7"/>
    <w:rsid w:val="1DE65804"/>
    <w:rsid w:val="1E0A5972"/>
    <w:rsid w:val="1E851D1C"/>
    <w:rsid w:val="1F314F03"/>
    <w:rsid w:val="1FBB3E77"/>
    <w:rsid w:val="205C7FDB"/>
    <w:rsid w:val="20EB305C"/>
    <w:rsid w:val="218B6DCA"/>
    <w:rsid w:val="21B856E5"/>
    <w:rsid w:val="21BE2CFB"/>
    <w:rsid w:val="21FC3824"/>
    <w:rsid w:val="22B26AF0"/>
    <w:rsid w:val="22CB58FB"/>
    <w:rsid w:val="233D7A71"/>
    <w:rsid w:val="2342170A"/>
    <w:rsid w:val="23615E8A"/>
    <w:rsid w:val="237911AE"/>
    <w:rsid w:val="242D5F16"/>
    <w:rsid w:val="24443260"/>
    <w:rsid w:val="25290C0F"/>
    <w:rsid w:val="279B0BA1"/>
    <w:rsid w:val="27E74416"/>
    <w:rsid w:val="280276BA"/>
    <w:rsid w:val="28292E99"/>
    <w:rsid w:val="28DA4193"/>
    <w:rsid w:val="28E31299"/>
    <w:rsid w:val="297D4B4F"/>
    <w:rsid w:val="298F1A88"/>
    <w:rsid w:val="29A21154"/>
    <w:rsid w:val="2ABC6246"/>
    <w:rsid w:val="2ACB0237"/>
    <w:rsid w:val="2AF37B03"/>
    <w:rsid w:val="2B341A3C"/>
    <w:rsid w:val="2B8C5C18"/>
    <w:rsid w:val="2C8E59C0"/>
    <w:rsid w:val="2C9F5373"/>
    <w:rsid w:val="2CD86C3B"/>
    <w:rsid w:val="2CED7F84"/>
    <w:rsid w:val="2D514FCD"/>
    <w:rsid w:val="2D6023B1"/>
    <w:rsid w:val="2D7C1CBC"/>
    <w:rsid w:val="2D9368C6"/>
    <w:rsid w:val="2DF1705F"/>
    <w:rsid w:val="2E692241"/>
    <w:rsid w:val="2F151735"/>
    <w:rsid w:val="2FCF4325"/>
    <w:rsid w:val="2FF65D56"/>
    <w:rsid w:val="30A34236"/>
    <w:rsid w:val="30CB71E3"/>
    <w:rsid w:val="30D140CD"/>
    <w:rsid w:val="30FD787D"/>
    <w:rsid w:val="321D3A6E"/>
    <w:rsid w:val="323D7C6C"/>
    <w:rsid w:val="32752FAD"/>
    <w:rsid w:val="328A7E4F"/>
    <w:rsid w:val="330D363B"/>
    <w:rsid w:val="33843679"/>
    <w:rsid w:val="33BF2903"/>
    <w:rsid w:val="33EB0E31"/>
    <w:rsid w:val="33F22CD8"/>
    <w:rsid w:val="340B071D"/>
    <w:rsid w:val="34580D8D"/>
    <w:rsid w:val="34F62354"/>
    <w:rsid w:val="36745C27"/>
    <w:rsid w:val="367B7C8F"/>
    <w:rsid w:val="36D87F64"/>
    <w:rsid w:val="37031DE8"/>
    <w:rsid w:val="374071DB"/>
    <w:rsid w:val="375D66BB"/>
    <w:rsid w:val="37B04B3C"/>
    <w:rsid w:val="37D4129F"/>
    <w:rsid w:val="383B4C4E"/>
    <w:rsid w:val="384425B7"/>
    <w:rsid w:val="38C84008"/>
    <w:rsid w:val="38E52CB2"/>
    <w:rsid w:val="39736669"/>
    <w:rsid w:val="39C21D02"/>
    <w:rsid w:val="39C944DB"/>
    <w:rsid w:val="39E15381"/>
    <w:rsid w:val="3A0628C3"/>
    <w:rsid w:val="3A8D057D"/>
    <w:rsid w:val="3B443E1A"/>
    <w:rsid w:val="3B871F58"/>
    <w:rsid w:val="3BB16FD5"/>
    <w:rsid w:val="3BB625B2"/>
    <w:rsid w:val="3C0B0DDB"/>
    <w:rsid w:val="3C3F6133"/>
    <w:rsid w:val="3CAD59EE"/>
    <w:rsid w:val="3D0E5556"/>
    <w:rsid w:val="3D3879AE"/>
    <w:rsid w:val="3DCF52BF"/>
    <w:rsid w:val="3DE95683"/>
    <w:rsid w:val="3DF53AF1"/>
    <w:rsid w:val="3E185EB9"/>
    <w:rsid w:val="3E8218B2"/>
    <w:rsid w:val="3E970CEA"/>
    <w:rsid w:val="3F1A7289"/>
    <w:rsid w:val="3F450269"/>
    <w:rsid w:val="3F4765A8"/>
    <w:rsid w:val="401E041B"/>
    <w:rsid w:val="40503261"/>
    <w:rsid w:val="40694322"/>
    <w:rsid w:val="40BB550E"/>
    <w:rsid w:val="40C17CBA"/>
    <w:rsid w:val="414370AE"/>
    <w:rsid w:val="41774C8D"/>
    <w:rsid w:val="418036D2"/>
    <w:rsid w:val="41962EF5"/>
    <w:rsid w:val="42117F51"/>
    <w:rsid w:val="43432C09"/>
    <w:rsid w:val="434C41B3"/>
    <w:rsid w:val="43F6411F"/>
    <w:rsid w:val="44B80C5D"/>
    <w:rsid w:val="44C80470"/>
    <w:rsid w:val="453F1647"/>
    <w:rsid w:val="45E06E35"/>
    <w:rsid w:val="462C207A"/>
    <w:rsid w:val="46307118"/>
    <w:rsid w:val="46D7175B"/>
    <w:rsid w:val="46E62229"/>
    <w:rsid w:val="474225B0"/>
    <w:rsid w:val="47555600"/>
    <w:rsid w:val="47A365F9"/>
    <w:rsid w:val="47A87A7E"/>
    <w:rsid w:val="48AB372A"/>
    <w:rsid w:val="48DA3415"/>
    <w:rsid w:val="48E704DA"/>
    <w:rsid w:val="4921579A"/>
    <w:rsid w:val="493D00FA"/>
    <w:rsid w:val="49425710"/>
    <w:rsid w:val="499A1A20"/>
    <w:rsid w:val="499D6A4B"/>
    <w:rsid w:val="49A94ADD"/>
    <w:rsid w:val="49F26522"/>
    <w:rsid w:val="4A100B71"/>
    <w:rsid w:val="4A39481E"/>
    <w:rsid w:val="4B0233A9"/>
    <w:rsid w:val="4B052E99"/>
    <w:rsid w:val="4B38326F"/>
    <w:rsid w:val="4B473D7B"/>
    <w:rsid w:val="4B7D6ED4"/>
    <w:rsid w:val="4BD034A7"/>
    <w:rsid w:val="4BFD6BB7"/>
    <w:rsid w:val="4C59349D"/>
    <w:rsid w:val="4C687790"/>
    <w:rsid w:val="4CD62D3F"/>
    <w:rsid w:val="4CF17B79"/>
    <w:rsid w:val="4DD76D6F"/>
    <w:rsid w:val="4E74636C"/>
    <w:rsid w:val="4F461E2F"/>
    <w:rsid w:val="4FE24618"/>
    <w:rsid w:val="4FED4628"/>
    <w:rsid w:val="50456AA8"/>
    <w:rsid w:val="50855C6C"/>
    <w:rsid w:val="509B4084"/>
    <w:rsid w:val="50B462AE"/>
    <w:rsid w:val="511856D5"/>
    <w:rsid w:val="51472979"/>
    <w:rsid w:val="51795E3B"/>
    <w:rsid w:val="51CA6C92"/>
    <w:rsid w:val="526811D1"/>
    <w:rsid w:val="52AB2578"/>
    <w:rsid w:val="54176117"/>
    <w:rsid w:val="54260108"/>
    <w:rsid w:val="54381DD8"/>
    <w:rsid w:val="55911EF9"/>
    <w:rsid w:val="55D017E1"/>
    <w:rsid w:val="566273F2"/>
    <w:rsid w:val="56AD68BF"/>
    <w:rsid w:val="56BB6A8A"/>
    <w:rsid w:val="56CC49DE"/>
    <w:rsid w:val="56E00B28"/>
    <w:rsid w:val="56E0560F"/>
    <w:rsid w:val="570010E5"/>
    <w:rsid w:val="583575F2"/>
    <w:rsid w:val="586C6306"/>
    <w:rsid w:val="59F9006D"/>
    <w:rsid w:val="5A7A2F5C"/>
    <w:rsid w:val="5AFE1B79"/>
    <w:rsid w:val="5BAB12BF"/>
    <w:rsid w:val="5BDC37A3"/>
    <w:rsid w:val="5C475820"/>
    <w:rsid w:val="5C4B6AD9"/>
    <w:rsid w:val="5CB47EEE"/>
    <w:rsid w:val="5CDB110D"/>
    <w:rsid w:val="5CF23E72"/>
    <w:rsid w:val="5D3C7DF7"/>
    <w:rsid w:val="5E0019CA"/>
    <w:rsid w:val="5E5D6E1D"/>
    <w:rsid w:val="5EB65AE3"/>
    <w:rsid w:val="5EDC6882"/>
    <w:rsid w:val="5EFC6636"/>
    <w:rsid w:val="5FA840C8"/>
    <w:rsid w:val="5FBA3DFB"/>
    <w:rsid w:val="5FC52ECB"/>
    <w:rsid w:val="5FCB4149"/>
    <w:rsid w:val="5FD161CC"/>
    <w:rsid w:val="60147C0F"/>
    <w:rsid w:val="604C2DCE"/>
    <w:rsid w:val="605E6E7C"/>
    <w:rsid w:val="608976F1"/>
    <w:rsid w:val="60CD2A85"/>
    <w:rsid w:val="60CE5DB0"/>
    <w:rsid w:val="61265BEC"/>
    <w:rsid w:val="61412A26"/>
    <w:rsid w:val="61C37261"/>
    <w:rsid w:val="61E91312"/>
    <w:rsid w:val="62137FEA"/>
    <w:rsid w:val="62595B4D"/>
    <w:rsid w:val="625B180A"/>
    <w:rsid w:val="625B7B17"/>
    <w:rsid w:val="62C933CA"/>
    <w:rsid w:val="640D40A6"/>
    <w:rsid w:val="6417181C"/>
    <w:rsid w:val="64430278"/>
    <w:rsid w:val="648844C8"/>
    <w:rsid w:val="64B22AD6"/>
    <w:rsid w:val="654943D9"/>
    <w:rsid w:val="654E339F"/>
    <w:rsid w:val="655F16CC"/>
    <w:rsid w:val="65670581"/>
    <w:rsid w:val="656E3A92"/>
    <w:rsid w:val="658E1FB1"/>
    <w:rsid w:val="65E61A42"/>
    <w:rsid w:val="662F5543"/>
    <w:rsid w:val="667C6C09"/>
    <w:rsid w:val="66F928BE"/>
    <w:rsid w:val="670B339A"/>
    <w:rsid w:val="67895317"/>
    <w:rsid w:val="684F3233"/>
    <w:rsid w:val="68D51CA5"/>
    <w:rsid w:val="69C266CE"/>
    <w:rsid w:val="6A8C296E"/>
    <w:rsid w:val="6A9040D6"/>
    <w:rsid w:val="6AF77353"/>
    <w:rsid w:val="6B3233DF"/>
    <w:rsid w:val="6BA37E39"/>
    <w:rsid w:val="6C7A6DEC"/>
    <w:rsid w:val="6CB16611"/>
    <w:rsid w:val="6D6B5C98"/>
    <w:rsid w:val="6E1D0376"/>
    <w:rsid w:val="6E3B3977"/>
    <w:rsid w:val="6E460815"/>
    <w:rsid w:val="6E884FBD"/>
    <w:rsid w:val="6EA463A2"/>
    <w:rsid w:val="6F0137F4"/>
    <w:rsid w:val="6F046E40"/>
    <w:rsid w:val="6F4656AB"/>
    <w:rsid w:val="6F6F58B2"/>
    <w:rsid w:val="6F822C6F"/>
    <w:rsid w:val="6FEF7AF1"/>
    <w:rsid w:val="71A843FB"/>
    <w:rsid w:val="728A3AB6"/>
    <w:rsid w:val="72AA7D31"/>
    <w:rsid w:val="72B60380"/>
    <w:rsid w:val="72DF37DC"/>
    <w:rsid w:val="73426189"/>
    <w:rsid w:val="74104D5B"/>
    <w:rsid w:val="74A7099A"/>
    <w:rsid w:val="74F529AC"/>
    <w:rsid w:val="7574384A"/>
    <w:rsid w:val="766308F1"/>
    <w:rsid w:val="766F3739"/>
    <w:rsid w:val="76B455F0"/>
    <w:rsid w:val="76E00193"/>
    <w:rsid w:val="77620166"/>
    <w:rsid w:val="776911AB"/>
    <w:rsid w:val="77F9150C"/>
    <w:rsid w:val="78762B5D"/>
    <w:rsid w:val="78E15231"/>
    <w:rsid w:val="790046BB"/>
    <w:rsid w:val="790E7239"/>
    <w:rsid w:val="792F0F5E"/>
    <w:rsid w:val="793C3BEF"/>
    <w:rsid w:val="79711576"/>
    <w:rsid w:val="7A3525A4"/>
    <w:rsid w:val="7A7E4972"/>
    <w:rsid w:val="7AC27BA7"/>
    <w:rsid w:val="7AF67F85"/>
    <w:rsid w:val="7B333512"/>
    <w:rsid w:val="7B4A02D1"/>
    <w:rsid w:val="7B4E7DC1"/>
    <w:rsid w:val="7B607AF4"/>
    <w:rsid w:val="7B762E74"/>
    <w:rsid w:val="7B7F7B4B"/>
    <w:rsid w:val="7BC31C46"/>
    <w:rsid w:val="7C4A47A6"/>
    <w:rsid w:val="7C830E0A"/>
    <w:rsid w:val="7CD22A9C"/>
    <w:rsid w:val="7CD40803"/>
    <w:rsid w:val="7D20753B"/>
    <w:rsid w:val="7D276B1C"/>
    <w:rsid w:val="7E026C41"/>
    <w:rsid w:val="7E346061"/>
    <w:rsid w:val="7F04038A"/>
    <w:rsid w:val="7F266502"/>
    <w:rsid w:val="7FE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qFormat/>
    <w:uiPriority w:val="0"/>
    <w:pPr>
      <w:keepNext/>
      <w:keepLines/>
      <w:spacing w:line="372" w:lineRule="auto"/>
      <w:outlineLvl w:val="3"/>
    </w:pPr>
    <w:rPr>
      <w:rFonts w:ascii="Arial" w:hAnsi="Arial" w:eastAsia="黑体"/>
      <w:b/>
      <w:sz w:val="2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List Paragraph"/>
    <w:basedOn w:val="1"/>
    <w:qFormat/>
    <w:uiPriority w:val="34"/>
    <w:pPr>
      <w:ind w:firstLine="420" w:firstLineChars="200"/>
    </w:pPr>
  </w:style>
  <w:style w:type="character" w:customStyle="1" w:styleId="9">
    <w:name w:val="页眉 Char"/>
    <w:basedOn w:val="7"/>
    <w:link w:val="5"/>
    <w:qFormat/>
    <w:uiPriority w:val="99"/>
    <w:rPr>
      <w:sz w:val="18"/>
      <w:szCs w:val="18"/>
    </w:rPr>
  </w:style>
  <w:style w:type="character" w:customStyle="1" w:styleId="10">
    <w:name w:val="页脚 Char"/>
    <w:basedOn w:val="7"/>
    <w:link w:val="4"/>
    <w:qFormat/>
    <w:uiPriority w:val="99"/>
    <w:rPr>
      <w:sz w:val="18"/>
      <w:szCs w:val="18"/>
    </w:rPr>
  </w:style>
  <w:style w:type="character" w:customStyle="1" w:styleId="11">
    <w:name w:val="批注框文本 Char"/>
    <w:basedOn w:val="7"/>
    <w:link w:val="3"/>
    <w:semiHidden/>
    <w:qFormat/>
    <w:uiPriority w:val="99"/>
    <w:rPr>
      <w:sz w:val="18"/>
      <w:szCs w:val="18"/>
    </w:rPr>
  </w:style>
  <w:style w:type="character" w:customStyle="1" w:styleId="12">
    <w:name w:val="font51"/>
    <w:basedOn w:val="7"/>
    <w:qFormat/>
    <w:uiPriority w:val="0"/>
    <w:rPr>
      <w:rFonts w:hint="eastAsia" w:ascii="宋体" w:hAnsi="宋体" w:eastAsia="宋体" w:cs="宋体"/>
      <w:color w:val="000000"/>
      <w:sz w:val="16"/>
      <w:szCs w:val="16"/>
      <w:u w:val="none"/>
    </w:rPr>
  </w:style>
  <w:style w:type="character" w:customStyle="1" w:styleId="13">
    <w:name w:val="font11"/>
    <w:basedOn w:val="7"/>
    <w:qFormat/>
    <w:uiPriority w:val="0"/>
    <w:rPr>
      <w:rFonts w:hint="eastAsia" w:ascii="方正仿宋_GBK" w:hAnsi="方正仿宋_GBK" w:eastAsia="方正仿宋_GBK" w:cs="方正仿宋_GBK"/>
      <w:color w:val="FF0000"/>
      <w:sz w:val="24"/>
      <w:szCs w:val="24"/>
      <w:u w:val="none"/>
    </w:rPr>
  </w:style>
  <w:style w:type="character" w:customStyle="1" w:styleId="14">
    <w:name w:val="font21"/>
    <w:basedOn w:val="7"/>
    <w:qFormat/>
    <w:uiPriority w:val="0"/>
    <w:rPr>
      <w:rFonts w:hint="eastAsia" w:ascii="方正仿宋_GBK" w:hAnsi="方正仿宋_GBK" w:eastAsia="方正仿宋_GBK" w:cs="方正仿宋_GBK"/>
      <w:color w:val="FF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7734</Words>
  <Characters>8262</Characters>
  <Lines>119</Lines>
  <Paragraphs>33</Paragraphs>
  <TotalTime>9</TotalTime>
  <ScaleCrop>false</ScaleCrop>
  <LinksUpToDate>false</LinksUpToDate>
  <CharactersWithSpaces>8281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2023-10-11T09:28:00Z</dcterms:created>
  <dc:creator>Zhou</dc:creator>
  <cp:lastModifiedBy>张恪</cp:lastModifiedBy>
  <cp:lastPrinted>2024-06-27T01:54:00Z</cp:lastPrinted>
  <dcterms:modified xsi:type="dcterms:W3CDTF">2026-05-06T16:12:16Z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A05ACF6933DE4134B68479ECA358AFE9_12</vt:lpwstr>
  </property>
  <property fmtid="{D5CDD505-2E9C-101B-9397-08002B2CF9AE}" pid="4" name="KSOTemplateDocerSaveRecord">
    <vt:lpwstr>eyJoZGlkIjoiNWE3ZmIxOWQ0ZmM3NmY3YzZiNjIzODc5Y2ZiMmVjODQiLCJ1c2VySWQiOiIxNDg4MTY3ODQzIn0=</vt:lpwstr>
  </property>
</Properties>
</file>